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1B87F3">
      <w:pPr>
        <w:pStyle w:val="25"/>
        <w:spacing w:line="760" w:lineRule="exact"/>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lang w:val="en-US" w:eastAsia="zh-CN"/>
        </w:rPr>
        <w:t>克孜勒苏柯尔克孜自治州质量与计量检验检测中心检验检测设备采购项目</w:t>
      </w:r>
    </w:p>
    <w:p w14:paraId="521A1D13">
      <w:pPr>
        <w:pStyle w:val="25"/>
        <w:spacing w:line="760" w:lineRule="exact"/>
        <w:ind w:firstLine="1815" w:firstLineChars="500"/>
        <w:rPr>
          <w:rFonts w:hint="default" w:ascii="仿宋" w:hAnsi="仿宋" w:eastAsia="仿宋" w:cs="仿宋"/>
          <w:color w:val="auto"/>
          <w:lang w:val="en-US" w:eastAsia="zh-CN"/>
        </w:rPr>
      </w:pPr>
      <w:r>
        <w:rPr>
          <w:rFonts w:hint="eastAsia" w:ascii="仿宋" w:hAnsi="仿宋" w:eastAsia="仿宋" w:cs="仿宋"/>
          <w:b/>
          <w:bCs/>
          <w:color w:val="auto"/>
          <w:sz w:val="36"/>
          <w:szCs w:val="36"/>
        </w:rPr>
        <w:t>项目编号：</w:t>
      </w:r>
      <w:r>
        <w:rPr>
          <w:rFonts w:hint="eastAsia" w:ascii="仿宋" w:hAnsi="仿宋" w:eastAsia="仿宋" w:cs="仿宋"/>
          <w:b/>
          <w:bCs/>
          <w:color w:val="auto"/>
          <w:sz w:val="36"/>
          <w:szCs w:val="36"/>
          <w:lang w:val="en-US" w:eastAsia="zh-CN"/>
        </w:rPr>
        <w:t>KZZB-2025056</w:t>
      </w:r>
    </w:p>
    <w:p w14:paraId="231375DD">
      <w:pPr>
        <w:pStyle w:val="25"/>
        <w:rPr>
          <w:rFonts w:ascii="仿宋" w:hAnsi="仿宋" w:eastAsia="仿宋" w:cs="仿宋"/>
          <w:color w:val="auto"/>
        </w:rPr>
      </w:pPr>
    </w:p>
    <w:p w14:paraId="1D461060">
      <w:pPr>
        <w:pStyle w:val="25"/>
        <w:jc w:val="center"/>
        <w:rPr>
          <w:rFonts w:hint="eastAsia" w:ascii="仿宋" w:hAnsi="仿宋" w:eastAsia="仿宋" w:cs="仿宋"/>
          <w:b/>
          <w:bCs/>
          <w:color w:val="auto"/>
          <w:sz w:val="96"/>
          <w:szCs w:val="96"/>
          <w:lang w:eastAsia="zh-CN"/>
        </w:rPr>
      </w:pPr>
      <w:r>
        <w:rPr>
          <w:rFonts w:hint="eastAsia" w:ascii="仿宋" w:hAnsi="仿宋" w:eastAsia="仿宋" w:cs="仿宋"/>
          <w:b/>
          <w:color w:val="auto"/>
          <w:sz w:val="96"/>
          <w:szCs w:val="96"/>
          <w:lang w:eastAsia="zh-CN"/>
        </w:rPr>
        <w:t>谈</w:t>
      </w:r>
    </w:p>
    <w:p w14:paraId="41F3EFF4">
      <w:pPr>
        <w:pStyle w:val="25"/>
        <w:jc w:val="center"/>
        <w:rPr>
          <w:rFonts w:hint="eastAsia" w:ascii="仿宋" w:hAnsi="仿宋" w:eastAsia="仿宋" w:cs="仿宋"/>
          <w:b/>
          <w:bCs/>
          <w:color w:val="auto"/>
          <w:sz w:val="96"/>
          <w:szCs w:val="96"/>
          <w:lang w:eastAsia="zh-CN"/>
        </w:rPr>
      </w:pPr>
      <w:r>
        <w:rPr>
          <w:rFonts w:hint="eastAsia" w:ascii="仿宋" w:hAnsi="仿宋" w:eastAsia="仿宋" w:cs="仿宋"/>
          <w:b/>
          <w:bCs/>
          <w:color w:val="auto"/>
          <w:sz w:val="96"/>
          <w:szCs w:val="96"/>
          <w:lang w:eastAsia="zh-CN"/>
        </w:rPr>
        <w:t>判</w:t>
      </w:r>
    </w:p>
    <w:p w14:paraId="4103D678">
      <w:pPr>
        <w:pStyle w:val="25"/>
        <w:jc w:val="center"/>
        <w:rPr>
          <w:rFonts w:ascii="仿宋" w:hAnsi="仿宋" w:eastAsia="仿宋" w:cs="仿宋"/>
          <w:b/>
          <w:bCs/>
          <w:color w:val="auto"/>
          <w:sz w:val="96"/>
          <w:szCs w:val="96"/>
        </w:rPr>
      </w:pPr>
      <w:r>
        <w:rPr>
          <w:rFonts w:hint="eastAsia" w:ascii="仿宋" w:hAnsi="仿宋" w:eastAsia="仿宋" w:cs="仿宋"/>
          <w:b/>
          <w:bCs/>
          <w:color w:val="auto"/>
          <w:sz w:val="96"/>
          <w:szCs w:val="96"/>
        </w:rPr>
        <w:t>文</w:t>
      </w:r>
    </w:p>
    <w:p w14:paraId="269E46D8">
      <w:pPr>
        <w:pStyle w:val="25"/>
        <w:jc w:val="center"/>
        <w:rPr>
          <w:rFonts w:ascii="仿宋" w:hAnsi="仿宋" w:eastAsia="仿宋" w:cs="仿宋"/>
          <w:color w:val="auto"/>
          <w:sz w:val="84"/>
          <w:szCs w:val="84"/>
        </w:rPr>
      </w:pPr>
      <w:r>
        <w:rPr>
          <w:rFonts w:hint="eastAsia" w:ascii="仿宋" w:hAnsi="仿宋" w:eastAsia="仿宋" w:cs="仿宋"/>
          <w:b/>
          <w:bCs/>
          <w:color w:val="auto"/>
          <w:sz w:val="96"/>
          <w:szCs w:val="96"/>
        </w:rPr>
        <w:t>件</w:t>
      </w:r>
    </w:p>
    <w:p w14:paraId="62F5D191">
      <w:pPr>
        <w:pStyle w:val="25"/>
        <w:rPr>
          <w:rFonts w:ascii="仿宋" w:hAnsi="仿宋" w:eastAsia="仿宋" w:cs="仿宋"/>
          <w:color w:val="auto"/>
        </w:rPr>
      </w:pPr>
    </w:p>
    <w:p w14:paraId="43256661">
      <w:pPr>
        <w:pStyle w:val="25"/>
        <w:rPr>
          <w:rFonts w:ascii="仿宋" w:hAnsi="仿宋" w:eastAsia="仿宋" w:cs="仿宋"/>
          <w:color w:val="auto"/>
        </w:rPr>
      </w:pPr>
    </w:p>
    <w:p w14:paraId="2EFEA282">
      <w:pPr>
        <w:keepNext w:val="0"/>
        <w:keepLines w:val="0"/>
        <w:pageBreakBefore w:val="0"/>
        <w:widowControl/>
        <w:kinsoku/>
        <w:wordWrap/>
        <w:overflowPunct/>
        <w:topLinePunct w:val="0"/>
        <w:autoSpaceDE w:val="0"/>
        <w:autoSpaceDN w:val="0"/>
        <w:bidi w:val="0"/>
        <w:adjustRightInd/>
        <w:snapToGrid/>
        <w:spacing w:line="740" w:lineRule="exact"/>
        <w:ind w:left="2264" w:leftChars="266" w:right="-26" w:hanging="1618" w:hangingChars="501"/>
        <w:textAlignment w:val="bottom"/>
        <w:rPr>
          <w:rFonts w:hint="eastAsia" w:ascii="宋体" w:hAnsi="宋体"/>
          <w:b/>
          <w:color w:val="auto"/>
          <w:sz w:val="32"/>
          <w:szCs w:val="32"/>
          <w:highlight w:val="none"/>
          <w:lang w:val="en-US" w:eastAsia="zh-CN"/>
        </w:rPr>
      </w:pPr>
      <w:r>
        <w:rPr>
          <w:rFonts w:hint="eastAsia" w:ascii="宋体" w:hAnsi="宋体"/>
          <w:b/>
          <w:color w:val="auto"/>
          <w:sz w:val="32"/>
          <w:szCs w:val="32"/>
          <w:highlight w:val="none"/>
          <w:lang w:eastAsia="zh-CN"/>
        </w:rPr>
        <w:t>采购单位：克孜勒苏柯尔克孜自治州质量与计量检验检测中心</w:t>
      </w:r>
    </w:p>
    <w:p w14:paraId="58048F42">
      <w:pPr>
        <w:keepNext w:val="0"/>
        <w:keepLines w:val="0"/>
        <w:pageBreakBefore w:val="0"/>
        <w:widowControl/>
        <w:kinsoku/>
        <w:wordWrap/>
        <w:overflowPunct/>
        <w:topLinePunct w:val="0"/>
        <w:autoSpaceDE w:val="0"/>
        <w:autoSpaceDN w:val="0"/>
        <w:bidi w:val="0"/>
        <w:adjustRightInd/>
        <w:snapToGrid/>
        <w:spacing w:line="740" w:lineRule="exact"/>
        <w:ind w:right="-26" w:firstLine="632" w:firstLineChars="196"/>
        <w:textAlignment w:val="bottom"/>
        <w:rPr>
          <w:rFonts w:hint="eastAsia" w:ascii="宋体" w:hAnsi="宋体"/>
          <w:b/>
          <w:color w:val="auto"/>
          <w:sz w:val="32"/>
          <w:szCs w:val="32"/>
          <w:highlight w:val="none"/>
          <w:lang w:val="en-US" w:eastAsia="zh-CN"/>
        </w:rPr>
      </w:pPr>
      <w:r>
        <w:rPr>
          <w:rFonts w:hint="eastAsia" w:ascii="宋体" w:hAnsi="宋体"/>
          <w:b/>
          <w:color w:val="auto"/>
          <w:sz w:val="32"/>
          <w:szCs w:val="32"/>
          <w:highlight w:val="none"/>
          <w:lang w:eastAsia="zh-CN"/>
        </w:rPr>
        <w:t>联</w:t>
      </w:r>
      <w:r>
        <w:rPr>
          <w:rFonts w:hint="eastAsia" w:ascii="宋体" w:hAnsi="宋体"/>
          <w:b/>
          <w:color w:val="auto"/>
          <w:sz w:val="32"/>
          <w:szCs w:val="32"/>
          <w:highlight w:val="none"/>
          <w:lang w:val="en-US" w:eastAsia="zh-CN"/>
        </w:rPr>
        <w:t xml:space="preserve"> </w:t>
      </w:r>
      <w:r>
        <w:rPr>
          <w:rFonts w:hint="eastAsia" w:ascii="宋体" w:hAnsi="宋体"/>
          <w:b/>
          <w:color w:val="auto"/>
          <w:sz w:val="32"/>
          <w:szCs w:val="32"/>
          <w:highlight w:val="none"/>
          <w:lang w:eastAsia="zh-CN"/>
        </w:rPr>
        <w:t>系</w:t>
      </w:r>
      <w:r>
        <w:rPr>
          <w:rFonts w:hint="eastAsia" w:ascii="宋体" w:hAnsi="宋体"/>
          <w:b/>
          <w:color w:val="auto"/>
          <w:sz w:val="32"/>
          <w:szCs w:val="32"/>
          <w:highlight w:val="none"/>
          <w:lang w:val="en-US" w:eastAsia="zh-CN"/>
        </w:rPr>
        <w:t xml:space="preserve"> </w:t>
      </w:r>
      <w:r>
        <w:rPr>
          <w:rFonts w:hint="eastAsia" w:ascii="宋体" w:hAnsi="宋体"/>
          <w:b/>
          <w:color w:val="auto"/>
          <w:sz w:val="32"/>
          <w:szCs w:val="32"/>
          <w:highlight w:val="none"/>
          <w:lang w:eastAsia="zh-CN"/>
        </w:rPr>
        <w:t>人：</w:t>
      </w:r>
      <w:r>
        <w:rPr>
          <w:rFonts w:hint="eastAsia" w:ascii="宋体" w:hAnsi="宋体"/>
          <w:b/>
          <w:color w:val="auto"/>
          <w:sz w:val="32"/>
          <w:szCs w:val="32"/>
          <w:highlight w:val="none"/>
          <w:lang w:val="en-US" w:eastAsia="zh-CN"/>
        </w:rPr>
        <w:t>何先生</w:t>
      </w:r>
    </w:p>
    <w:p w14:paraId="2A39A3EE">
      <w:pPr>
        <w:keepNext w:val="0"/>
        <w:keepLines w:val="0"/>
        <w:pageBreakBefore w:val="0"/>
        <w:widowControl/>
        <w:kinsoku/>
        <w:wordWrap/>
        <w:overflowPunct/>
        <w:topLinePunct w:val="0"/>
        <w:autoSpaceDE w:val="0"/>
        <w:autoSpaceDN w:val="0"/>
        <w:bidi w:val="0"/>
        <w:adjustRightInd/>
        <w:snapToGrid/>
        <w:spacing w:line="740" w:lineRule="exact"/>
        <w:ind w:right="-26" w:firstLine="632" w:firstLineChars="196"/>
        <w:textAlignment w:val="bottom"/>
        <w:rPr>
          <w:rFonts w:hint="default" w:ascii="宋体" w:hAnsi="宋体"/>
          <w:b/>
          <w:color w:val="auto"/>
          <w:sz w:val="32"/>
          <w:szCs w:val="32"/>
          <w:highlight w:val="none"/>
          <w:lang w:val="en-US" w:eastAsia="zh-CN"/>
        </w:rPr>
      </w:pPr>
      <w:r>
        <w:rPr>
          <w:rFonts w:hint="eastAsia" w:ascii="宋体" w:hAnsi="宋体"/>
          <w:b/>
          <w:color w:val="auto"/>
          <w:sz w:val="32"/>
          <w:szCs w:val="32"/>
          <w:highlight w:val="none"/>
          <w:lang w:val="en-US" w:eastAsia="zh-CN"/>
        </w:rPr>
        <w:t>联系电话：15209088821</w:t>
      </w:r>
    </w:p>
    <w:p w14:paraId="427C3583">
      <w:pPr>
        <w:keepNext w:val="0"/>
        <w:keepLines w:val="0"/>
        <w:pageBreakBefore w:val="0"/>
        <w:widowControl/>
        <w:kinsoku/>
        <w:wordWrap/>
        <w:overflowPunct/>
        <w:topLinePunct w:val="0"/>
        <w:autoSpaceDE w:val="0"/>
        <w:autoSpaceDN w:val="0"/>
        <w:bidi w:val="0"/>
        <w:adjustRightInd/>
        <w:snapToGrid/>
        <w:spacing w:line="740" w:lineRule="exact"/>
        <w:ind w:right="-26" w:firstLine="632" w:firstLineChars="196"/>
        <w:textAlignment w:val="bottom"/>
        <w:rPr>
          <w:rFonts w:hint="eastAsia" w:ascii="宋体" w:hAnsi="宋体"/>
          <w:b/>
          <w:color w:val="auto"/>
          <w:sz w:val="32"/>
          <w:szCs w:val="32"/>
          <w:highlight w:val="none"/>
          <w:lang w:eastAsia="zh-CN"/>
        </w:rPr>
      </w:pPr>
      <w:r>
        <w:rPr>
          <w:rFonts w:hint="eastAsia" w:ascii="宋体" w:hAnsi="宋体"/>
          <w:b/>
          <w:color w:val="auto"/>
          <w:sz w:val="32"/>
          <w:szCs w:val="32"/>
          <w:highlight w:val="none"/>
          <w:lang w:eastAsia="zh-CN"/>
        </w:rPr>
        <w:t>代理机构：</w:t>
      </w:r>
      <w:r>
        <w:rPr>
          <w:rFonts w:hint="eastAsia" w:ascii="宋体" w:hAnsi="宋体"/>
          <w:b/>
          <w:color w:val="auto"/>
          <w:sz w:val="32"/>
          <w:szCs w:val="32"/>
          <w:highlight w:val="none"/>
          <w:lang w:val="en-US" w:eastAsia="zh-CN"/>
        </w:rPr>
        <w:t>新疆能实建设工程项目管理咨询有限责任公司</w:t>
      </w:r>
    </w:p>
    <w:p w14:paraId="5B20C297">
      <w:pPr>
        <w:keepNext w:val="0"/>
        <w:keepLines w:val="0"/>
        <w:pageBreakBefore w:val="0"/>
        <w:widowControl/>
        <w:kinsoku/>
        <w:wordWrap/>
        <w:overflowPunct/>
        <w:topLinePunct w:val="0"/>
        <w:autoSpaceDE w:val="0"/>
        <w:autoSpaceDN w:val="0"/>
        <w:bidi w:val="0"/>
        <w:adjustRightInd/>
        <w:snapToGrid/>
        <w:spacing w:line="740" w:lineRule="exact"/>
        <w:ind w:right="-28" w:firstLine="632" w:firstLineChars="196"/>
        <w:textAlignment w:val="bottom"/>
        <w:rPr>
          <w:rFonts w:hint="eastAsia" w:ascii="宋体" w:hAnsi="宋体"/>
          <w:b/>
          <w:color w:val="auto"/>
          <w:sz w:val="32"/>
          <w:szCs w:val="32"/>
          <w:highlight w:val="none"/>
          <w:lang w:val="en-US" w:eastAsia="zh-CN"/>
        </w:rPr>
      </w:pPr>
      <w:r>
        <w:rPr>
          <w:rFonts w:hint="eastAsia" w:ascii="宋体" w:hAnsi="宋体"/>
          <w:b/>
          <w:color w:val="auto"/>
          <w:sz w:val="32"/>
          <w:szCs w:val="32"/>
          <w:highlight w:val="none"/>
          <w:lang w:eastAsia="zh-CN"/>
        </w:rPr>
        <w:t>联</w:t>
      </w:r>
      <w:r>
        <w:rPr>
          <w:rFonts w:hint="eastAsia" w:ascii="宋体" w:hAnsi="宋体"/>
          <w:b/>
          <w:color w:val="auto"/>
          <w:sz w:val="32"/>
          <w:szCs w:val="32"/>
          <w:highlight w:val="none"/>
          <w:lang w:val="en-US" w:eastAsia="zh-CN"/>
        </w:rPr>
        <w:t xml:space="preserve"> </w:t>
      </w:r>
      <w:r>
        <w:rPr>
          <w:rFonts w:hint="eastAsia" w:ascii="宋体" w:hAnsi="宋体"/>
          <w:b/>
          <w:color w:val="auto"/>
          <w:sz w:val="32"/>
          <w:szCs w:val="32"/>
          <w:highlight w:val="none"/>
          <w:lang w:eastAsia="zh-CN"/>
        </w:rPr>
        <w:t>系</w:t>
      </w:r>
      <w:r>
        <w:rPr>
          <w:rFonts w:hint="eastAsia" w:ascii="宋体" w:hAnsi="宋体"/>
          <w:b/>
          <w:color w:val="auto"/>
          <w:sz w:val="32"/>
          <w:szCs w:val="32"/>
          <w:highlight w:val="none"/>
          <w:lang w:val="en-US" w:eastAsia="zh-CN"/>
        </w:rPr>
        <w:t xml:space="preserve"> </w:t>
      </w:r>
      <w:r>
        <w:rPr>
          <w:rFonts w:hint="eastAsia" w:ascii="宋体" w:hAnsi="宋体"/>
          <w:b/>
          <w:color w:val="auto"/>
          <w:sz w:val="32"/>
          <w:szCs w:val="32"/>
          <w:highlight w:val="none"/>
          <w:lang w:eastAsia="zh-CN"/>
        </w:rPr>
        <w:t>人：</w:t>
      </w:r>
      <w:r>
        <w:rPr>
          <w:rFonts w:hint="eastAsia" w:ascii="宋体" w:hAnsi="宋体"/>
          <w:b/>
          <w:color w:val="auto"/>
          <w:sz w:val="32"/>
          <w:szCs w:val="32"/>
          <w:highlight w:val="none"/>
          <w:lang w:val="en-US" w:eastAsia="zh-CN"/>
        </w:rPr>
        <w:t xml:space="preserve">罗先生      </w:t>
      </w:r>
    </w:p>
    <w:p w14:paraId="26A07D72">
      <w:pPr>
        <w:ind w:firstLine="646" w:firstLineChars="200"/>
        <w:jc w:val="both"/>
        <w:rPr>
          <w:rFonts w:hint="default" w:ascii="仿宋" w:hAnsi="仿宋" w:eastAsia="仿宋" w:cs="仿宋"/>
          <w:b/>
          <w:color w:val="auto"/>
          <w:sz w:val="36"/>
          <w:szCs w:val="36"/>
          <w:lang w:val="en-US"/>
        </w:rPr>
      </w:pPr>
      <w:r>
        <w:rPr>
          <w:rFonts w:hint="eastAsia" w:ascii="宋体" w:hAnsi="宋体"/>
          <w:b/>
          <w:color w:val="auto"/>
          <w:sz w:val="32"/>
          <w:szCs w:val="32"/>
          <w:highlight w:val="none"/>
          <w:lang w:eastAsia="zh-CN"/>
        </w:rPr>
        <w:t>联系电话:</w:t>
      </w:r>
      <w:r>
        <w:rPr>
          <w:rFonts w:hint="eastAsia" w:ascii="宋体" w:hAnsi="宋体"/>
          <w:b/>
          <w:color w:val="auto"/>
          <w:sz w:val="32"/>
          <w:szCs w:val="32"/>
          <w:highlight w:val="none"/>
          <w:lang w:val="en-US" w:eastAsia="zh-CN"/>
        </w:rPr>
        <w:t>16698959998</w:t>
      </w:r>
    </w:p>
    <w:p w14:paraId="539A5195">
      <w:pPr>
        <w:jc w:val="center"/>
        <w:rPr>
          <w:rFonts w:hint="eastAsia" w:ascii="仿宋" w:hAnsi="仿宋" w:eastAsia="仿宋" w:cs="仿宋"/>
          <w:b/>
          <w:color w:val="auto"/>
          <w:sz w:val="36"/>
          <w:szCs w:val="36"/>
        </w:rPr>
      </w:pPr>
    </w:p>
    <w:p w14:paraId="1791A7E0">
      <w:pPr>
        <w:jc w:val="center"/>
        <w:rPr>
          <w:rFonts w:ascii="仿宋" w:hAnsi="仿宋" w:eastAsia="仿宋" w:cs="仿宋"/>
          <w:b/>
          <w:color w:val="auto"/>
          <w:sz w:val="36"/>
          <w:szCs w:val="36"/>
        </w:rPr>
      </w:pPr>
      <w:r>
        <w:rPr>
          <w:rFonts w:hint="eastAsia" w:ascii="仿宋" w:hAnsi="仿宋" w:eastAsia="仿宋" w:cs="仿宋"/>
          <w:b/>
          <w:color w:val="auto"/>
          <w:sz w:val="36"/>
          <w:szCs w:val="36"/>
        </w:rPr>
        <w:t>招投标监督管理机构备案登记栏</w:t>
      </w:r>
    </w:p>
    <w:tbl>
      <w:tblPr>
        <w:tblStyle w:val="18"/>
        <w:tblW w:w="88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6"/>
      </w:tblGrid>
      <w:tr w14:paraId="1C245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5" w:hRule="atLeast"/>
          <w:jc w:val="center"/>
        </w:trPr>
        <w:tc>
          <w:tcPr>
            <w:tcW w:w="8826" w:type="dxa"/>
          </w:tcPr>
          <w:p w14:paraId="27F20DB5">
            <w:pPr>
              <w:spacing w:line="500" w:lineRule="exact"/>
              <w:jc w:val="both"/>
              <w:rPr>
                <w:rFonts w:ascii="仿宋" w:hAnsi="仿宋" w:eastAsia="仿宋" w:cs="仿宋"/>
                <w:color w:val="auto"/>
              </w:rPr>
            </w:pPr>
          </w:p>
          <w:p w14:paraId="7F341BDB">
            <w:pPr>
              <w:spacing w:line="500" w:lineRule="exact"/>
              <w:jc w:val="both"/>
              <w:rPr>
                <w:rFonts w:ascii="仿宋" w:hAnsi="仿宋" w:eastAsia="仿宋" w:cs="仿宋"/>
                <w:color w:val="auto"/>
              </w:rPr>
            </w:pPr>
          </w:p>
          <w:p w14:paraId="20DBF184">
            <w:pPr>
              <w:spacing w:line="500" w:lineRule="exact"/>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rPr>
              <w:t>采购单位：</w:t>
            </w:r>
            <w:r>
              <w:rPr>
                <w:rFonts w:hint="eastAsia" w:ascii="仿宋" w:hAnsi="仿宋" w:eastAsia="仿宋" w:cs="仿宋"/>
                <w:color w:val="auto"/>
                <w:sz w:val="32"/>
                <w:szCs w:val="32"/>
                <w:lang w:eastAsia="zh-CN"/>
              </w:rPr>
              <w:t>克孜勒苏柯尔克孜自治州质量与计量检验检测中心（盖章）</w:t>
            </w:r>
          </w:p>
          <w:p w14:paraId="30FE31EA">
            <w:pPr>
              <w:spacing w:line="500" w:lineRule="exact"/>
              <w:jc w:val="both"/>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 xml:space="preserve">                                            </w:t>
            </w:r>
          </w:p>
          <w:p w14:paraId="677FFE5D">
            <w:pPr>
              <w:spacing w:line="500" w:lineRule="exact"/>
              <w:jc w:val="both"/>
              <w:rPr>
                <w:rFonts w:ascii="仿宋" w:hAnsi="仿宋" w:eastAsia="仿宋" w:cs="仿宋"/>
                <w:color w:val="auto"/>
                <w:sz w:val="32"/>
                <w:szCs w:val="32"/>
              </w:rPr>
            </w:pPr>
          </w:p>
          <w:p w14:paraId="0C5583CA">
            <w:pPr>
              <w:spacing w:line="500" w:lineRule="exact"/>
              <w:jc w:val="both"/>
              <w:rPr>
                <w:rFonts w:ascii="仿宋" w:hAnsi="仿宋" w:eastAsia="仿宋" w:cs="仿宋"/>
                <w:color w:val="auto"/>
                <w:sz w:val="32"/>
                <w:szCs w:val="32"/>
              </w:rPr>
            </w:pPr>
          </w:p>
          <w:p w14:paraId="2769415F">
            <w:pPr>
              <w:spacing w:line="500" w:lineRule="exact"/>
              <w:ind w:left="3554" w:hanging="3553" w:hangingChars="1100"/>
              <w:jc w:val="both"/>
              <w:rPr>
                <w:rFonts w:ascii="仿宋" w:hAnsi="仿宋" w:eastAsia="仿宋" w:cs="仿宋"/>
                <w:color w:val="auto"/>
                <w:sz w:val="32"/>
                <w:szCs w:val="32"/>
              </w:rPr>
            </w:pPr>
          </w:p>
          <w:p w14:paraId="0FAB87F8">
            <w:pPr>
              <w:spacing w:line="500" w:lineRule="exact"/>
              <w:jc w:val="both"/>
              <w:rPr>
                <w:rFonts w:ascii="仿宋" w:hAnsi="仿宋" w:eastAsia="仿宋" w:cs="仿宋"/>
                <w:color w:val="auto"/>
                <w:sz w:val="32"/>
                <w:szCs w:val="32"/>
              </w:rPr>
            </w:pPr>
            <w:r>
              <w:rPr>
                <w:rFonts w:hint="eastAsia" w:ascii="仿宋" w:hAnsi="仿宋" w:eastAsia="仿宋" w:cs="仿宋"/>
                <w:color w:val="auto"/>
                <w:sz w:val="32"/>
                <w:szCs w:val="32"/>
                <w:lang w:val="en-US" w:eastAsia="zh-CN"/>
              </w:rPr>
              <w:t>采购项目名称：克孜勒苏柯尔克孜自治州质量与计量检验检测中心检验检测设备采购项目</w:t>
            </w:r>
          </w:p>
          <w:p w14:paraId="45DD745E">
            <w:pPr>
              <w:spacing w:line="500" w:lineRule="exact"/>
              <w:jc w:val="both"/>
              <w:rPr>
                <w:rFonts w:ascii="仿宋" w:hAnsi="仿宋" w:eastAsia="仿宋" w:cs="仿宋"/>
                <w:color w:val="auto"/>
                <w:sz w:val="32"/>
                <w:szCs w:val="32"/>
              </w:rPr>
            </w:pPr>
          </w:p>
          <w:p w14:paraId="3DA39178">
            <w:pPr>
              <w:shd w:val="clear" w:color="040000" w:fill="auto"/>
              <w:spacing w:line="500" w:lineRule="exact"/>
              <w:jc w:val="both"/>
              <w:rPr>
                <w:rFonts w:hint="eastAsia" w:ascii="仿宋" w:hAnsi="仿宋" w:eastAsia="仿宋" w:cs="仿宋"/>
                <w:color w:val="auto"/>
                <w:sz w:val="32"/>
                <w:szCs w:val="32"/>
              </w:rPr>
            </w:pPr>
          </w:p>
          <w:p w14:paraId="3DB9EBCB">
            <w:pPr>
              <w:shd w:val="clear" w:color="040000" w:fill="auto"/>
              <w:spacing w:line="500" w:lineRule="exact"/>
              <w:jc w:val="both"/>
              <w:rPr>
                <w:rFonts w:hint="eastAsia" w:ascii="仿宋" w:hAnsi="仿宋" w:eastAsia="仿宋" w:cs="仿宋"/>
                <w:color w:val="auto"/>
                <w:sz w:val="32"/>
                <w:szCs w:val="32"/>
              </w:rPr>
            </w:pPr>
          </w:p>
          <w:p w14:paraId="1431BE3C">
            <w:pPr>
              <w:shd w:val="clear" w:color="040000" w:fill="auto"/>
              <w:spacing w:line="500" w:lineRule="exact"/>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rPr>
              <w:t>代理机构：</w:t>
            </w:r>
            <w:r>
              <w:rPr>
                <w:rFonts w:hint="eastAsia" w:ascii="仿宋" w:hAnsi="仿宋" w:eastAsia="仿宋" w:cs="仿宋"/>
                <w:color w:val="auto"/>
                <w:sz w:val="32"/>
                <w:szCs w:val="32"/>
                <w:lang w:val="en-US" w:eastAsia="zh-CN"/>
              </w:rPr>
              <w:t>新疆能实建设工程项目管理咨询有限责任公司</w:t>
            </w:r>
            <w:r>
              <w:rPr>
                <w:rFonts w:hint="eastAsia" w:ascii="仿宋" w:hAnsi="仿宋" w:eastAsia="仿宋" w:cs="仿宋"/>
                <w:color w:val="auto"/>
                <w:sz w:val="32"/>
                <w:szCs w:val="32"/>
                <w:lang w:eastAsia="zh-CN"/>
              </w:rPr>
              <w:t>（盖章）</w:t>
            </w:r>
          </w:p>
          <w:p w14:paraId="455E91F9">
            <w:pPr>
              <w:pStyle w:val="2"/>
              <w:jc w:val="center"/>
              <w:outlineLvl w:val="2"/>
              <w:rPr>
                <w:rFonts w:ascii="仿宋" w:hAnsi="仿宋" w:eastAsia="仿宋" w:cs="仿宋"/>
                <w:color w:val="auto"/>
              </w:rPr>
            </w:pPr>
          </w:p>
          <w:p w14:paraId="5412BE20">
            <w:pPr>
              <w:pStyle w:val="2"/>
              <w:jc w:val="center"/>
              <w:outlineLvl w:val="2"/>
              <w:rPr>
                <w:rFonts w:ascii="仿宋" w:hAnsi="仿宋" w:eastAsia="仿宋" w:cs="仿宋"/>
                <w:color w:val="auto"/>
              </w:rPr>
            </w:pPr>
          </w:p>
          <w:p w14:paraId="1E94E2B5">
            <w:pPr>
              <w:autoSpaceDE w:val="0"/>
              <w:autoSpaceDN w:val="0"/>
              <w:adjustRightInd w:val="0"/>
              <w:jc w:val="center"/>
              <w:rPr>
                <w:rFonts w:hint="eastAsia" w:ascii="仿宋" w:hAnsi="仿宋" w:eastAsia="仿宋" w:cs="仿宋"/>
                <w:b/>
                <w:color w:val="auto"/>
                <w:kern w:val="0"/>
                <w:sz w:val="32"/>
                <w:szCs w:val="32"/>
              </w:rPr>
            </w:pPr>
            <w:r>
              <w:rPr>
                <w:rFonts w:hint="eastAsia" w:ascii="仿宋" w:hAnsi="仿宋" w:eastAsia="仿宋" w:cs="仿宋"/>
                <w:b/>
                <w:color w:val="auto"/>
                <w:kern w:val="0"/>
                <w:sz w:val="32"/>
                <w:szCs w:val="32"/>
              </w:rPr>
              <w:t>本采购</w:t>
            </w:r>
            <w:r>
              <w:rPr>
                <w:rFonts w:hint="eastAsia" w:ascii="仿宋" w:hAnsi="仿宋" w:eastAsia="仿宋" w:cs="仿宋"/>
                <w:b/>
                <w:color w:val="auto"/>
                <w:kern w:val="0"/>
                <w:sz w:val="32"/>
                <w:szCs w:val="32"/>
                <w:lang w:val="en-US" w:eastAsia="zh-CN"/>
              </w:rPr>
              <w:t>谈判文件</w:t>
            </w:r>
            <w:r>
              <w:rPr>
                <w:rFonts w:hint="eastAsia" w:ascii="仿宋" w:hAnsi="仿宋" w:eastAsia="仿宋" w:cs="仿宋"/>
                <w:b/>
                <w:color w:val="auto"/>
                <w:kern w:val="0"/>
                <w:sz w:val="32"/>
                <w:szCs w:val="32"/>
              </w:rPr>
              <w:t>已报备</w:t>
            </w:r>
          </w:p>
          <w:p w14:paraId="08DD773C">
            <w:pPr>
              <w:pStyle w:val="2"/>
              <w:jc w:val="both"/>
              <w:outlineLvl w:val="2"/>
              <w:rPr>
                <w:rFonts w:ascii="仿宋" w:hAnsi="仿宋" w:eastAsia="仿宋" w:cs="仿宋"/>
                <w:color w:val="auto"/>
              </w:rPr>
            </w:pPr>
          </w:p>
        </w:tc>
      </w:tr>
    </w:tbl>
    <w:p w14:paraId="223A0065">
      <w:pPr>
        <w:spacing w:line="240" w:lineRule="exact"/>
        <w:rPr>
          <w:rFonts w:ascii="仿宋" w:hAnsi="仿宋" w:eastAsia="仿宋" w:cs="仿宋"/>
          <w:color w:val="auto"/>
          <w:sz w:val="44"/>
          <w:szCs w:val="44"/>
        </w:rPr>
      </w:pPr>
    </w:p>
    <w:p w14:paraId="02BB42B3">
      <w:pPr>
        <w:spacing w:line="240" w:lineRule="exact"/>
        <w:rPr>
          <w:rFonts w:ascii="仿宋" w:hAnsi="仿宋" w:eastAsia="仿宋" w:cs="仿宋"/>
          <w:color w:val="auto"/>
          <w:sz w:val="44"/>
          <w:szCs w:val="44"/>
        </w:rPr>
      </w:pPr>
    </w:p>
    <w:p w14:paraId="657355A2">
      <w:pPr>
        <w:pStyle w:val="23"/>
        <w:spacing w:before="0" w:line="360" w:lineRule="auto"/>
        <w:jc w:val="center"/>
        <w:rPr>
          <w:rFonts w:ascii="仿宋" w:hAnsi="仿宋" w:eastAsia="仿宋" w:cs="仿宋"/>
          <w:color w:val="auto"/>
          <w:sz w:val="44"/>
          <w:szCs w:val="44"/>
          <w:lang w:val="zh-CN"/>
        </w:rPr>
        <w:sectPr>
          <w:footerReference r:id="rId3" w:type="default"/>
          <w:pgSz w:w="11905" w:h="16838"/>
          <w:pgMar w:top="1440" w:right="1417" w:bottom="1440" w:left="1417" w:header="850" w:footer="992" w:gutter="0"/>
          <w:pgNumType w:fmt="decimal" w:start="1"/>
          <w:cols w:space="720" w:num="1"/>
          <w:docGrid w:type="linesAndChars" w:linePitch="325" w:charSpace="635"/>
        </w:sectPr>
      </w:pPr>
    </w:p>
    <w:p w14:paraId="5FA49C7F">
      <w:pPr>
        <w:rPr>
          <w:rFonts w:ascii="仿宋" w:hAnsi="仿宋" w:eastAsia="仿宋" w:cs="仿宋"/>
          <w:color w:val="auto"/>
          <w:lang w:val="zh-CN"/>
        </w:rPr>
      </w:pPr>
    </w:p>
    <w:p w14:paraId="083B1759">
      <w:pPr>
        <w:pStyle w:val="23"/>
        <w:spacing w:before="0" w:line="360" w:lineRule="auto"/>
        <w:jc w:val="center"/>
        <w:rPr>
          <w:rFonts w:ascii="仿宋" w:hAnsi="仿宋" w:eastAsia="仿宋" w:cs="仿宋"/>
          <w:color w:val="auto"/>
          <w:sz w:val="44"/>
          <w:szCs w:val="44"/>
          <w:lang w:val="zh-CN"/>
        </w:rPr>
      </w:pPr>
    </w:p>
    <w:p w14:paraId="41243215">
      <w:pPr>
        <w:pStyle w:val="23"/>
        <w:spacing w:before="0" w:line="360" w:lineRule="auto"/>
        <w:jc w:val="center"/>
        <w:rPr>
          <w:rFonts w:ascii="仿宋" w:hAnsi="仿宋" w:eastAsia="仿宋" w:cs="仿宋"/>
          <w:color w:val="auto"/>
          <w:sz w:val="44"/>
          <w:szCs w:val="44"/>
          <w:lang w:val="zh-CN"/>
        </w:rPr>
      </w:pPr>
      <w:r>
        <w:rPr>
          <w:rFonts w:hint="eastAsia" w:ascii="仿宋" w:hAnsi="仿宋" w:eastAsia="仿宋" w:cs="仿宋"/>
          <w:color w:val="auto"/>
          <w:sz w:val="44"/>
          <w:szCs w:val="44"/>
          <w:lang w:val="zh-CN"/>
        </w:rPr>
        <w:t>目    录</w:t>
      </w:r>
    </w:p>
    <w:p w14:paraId="487B52DF">
      <w:pPr>
        <w:rPr>
          <w:rFonts w:ascii="仿宋" w:hAnsi="仿宋" w:eastAsia="仿宋" w:cs="仿宋"/>
          <w:color w:val="auto"/>
          <w:sz w:val="30"/>
          <w:szCs w:val="30"/>
          <w:lang w:val="zh-CN"/>
        </w:rPr>
      </w:pPr>
    </w:p>
    <w:p w14:paraId="65E01406">
      <w:pPr>
        <w:spacing w:line="360" w:lineRule="auto"/>
        <w:rPr>
          <w:rFonts w:ascii="仿宋" w:hAnsi="仿宋" w:eastAsia="仿宋" w:cs="仿宋"/>
          <w:color w:val="auto"/>
          <w:sz w:val="30"/>
          <w:szCs w:val="30"/>
        </w:rPr>
      </w:pPr>
    </w:p>
    <w:p w14:paraId="294CC0E2">
      <w:pPr>
        <w:widowControl/>
        <w:rPr>
          <w:rFonts w:ascii="仿宋" w:hAnsi="仿宋" w:eastAsia="仿宋" w:cs="仿宋"/>
          <w:color w:val="auto"/>
          <w:sz w:val="30"/>
          <w:szCs w:val="30"/>
        </w:rPr>
      </w:pPr>
    </w:p>
    <w:p w14:paraId="21248AD1">
      <w:pPr>
        <w:spacing w:line="360" w:lineRule="auto"/>
        <w:ind w:firstLine="1830" w:firstLineChars="600"/>
        <w:rPr>
          <w:rFonts w:ascii="仿宋" w:hAnsi="仿宋" w:eastAsia="仿宋" w:cs="仿宋"/>
          <w:b/>
          <w:color w:val="auto"/>
          <w:sz w:val="30"/>
          <w:szCs w:val="30"/>
        </w:rPr>
      </w:pPr>
      <w:r>
        <w:rPr>
          <w:rFonts w:hint="eastAsia" w:ascii="仿宋" w:hAnsi="仿宋" w:eastAsia="仿宋" w:cs="仿宋"/>
          <w:b/>
          <w:color w:val="auto"/>
          <w:sz w:val="30"/>
          <w:szCs w:val="30"/>
        </w:rPr>
        <w:t>第一部分      竞争性</w:t>
      </w:r>
      <w:r>
        <w:rPr>
          <w:rFonts w:hint="eastAsia" w:ascii="仿宋" w:hAnsi="仿宋" w:eastAsia="仿宋" w:cs="仿宋"/>
          <w:b/>
          <w:color w:val="auto"/>
          <w:sz w:val="30"/>
          <w:szCs w:val="30"/>
          <w:lang w:eastAsia="zh-CN"/>
        </w:rPr>
        <w:t>谈判</w:t>
      </w:r>
      <w:r>
        <w:rPr>
          <w:rFonts w:hint="eastAsia" w:ascii="仿宋" w:hAnsi="仿宋" w:eastAsia="仿宋" w:cs="仿宋"/>
          <w:b/>
          <w:color w:val="auto"/>
          <w:sz w:val="30"/>
          <w:szCs w:val="30"/>
        </w:rPr>
        <w:t>公告</w:t>
      </w:r>
    </w:p>
    <w:p w14:paraId="0B5AC491">
      <w:pPr>
        <w:spacing w:line="360" w:lineRule="auto"/>
        <w:ind w:firstLine="1830" w:firstLineChars="600"/>
        <w:rPr>
          <w:rFonts w:ascii="仿宋" w:hAnsi="仿宋" w:eastAsia="仿宋" w:cs="仿宋"/>
          <w:b/>
          <w:color w:val="auto"/>
          <w:sz w:val="30"/>
          <w:szCs w:val="30"/>
        </w:rPr>
      </w:pPr>
      <w:r>
        <w:rPr>
          <w:rFonts w:hint="eastAsia" w:ascii="仿宋" w:hAnsi="仿宋" w:eastAsia="仿宋" w:cs="仿宋"/>
          <w:b/>
          <w:color w:val="auto"/>
          <w:sz w:val="30"/>
          <w:szCs w:val="30"/>
        </w:rPr>
        <w:t>第二部分      供应商须知</w:t>
      </w:r>
    </w:p>
    <w:p w14:paraId="6EAC2AEB">
      <w:pPr>
        <w:spacing w:line="360" w:lineRule="auto"/>
        <w:ind w:firstLine="1830" w:firstLineChars="600"/>
        <w:rPr>
          <w:rFonts w:ascii="仿宋" w:hAnsi="仿宋" w:eastAsia="仿宋" w:cs="仿宋"/>
          <w:b/>
          <w:color w:val="auto"/>
          <w:sz w:val="30"/>
          <w:szCs w:val="30"/>
        </w:rPr>
      </w:pPr>
      <w:r>
        <w:rPr>
          <w:rFonts w:hint="eastAsia" w:ascii="仿宋" w:hAnsi="仿宋" w:eastAsia="仿宋" w:cs="仿宋"/>
          <w:b/>
          <w:color w:val="auto"/>
          <w:sz w:val="30"/>
          <w:szCs w:val="30"/>
        </w:rPr>
        <w:t xml:space="preserve">第三部分      </w:t>
      </w:r>
      <w:r>
        <w:rPr>
          <w:rFonts w:hint="eastAsia" w:ascii="仿宋" w:hAnsi="仿宋" w:eastAsia="仿宋" w:cs="仿宋"/>
          <w:b/>
          <w:color w:val="auto"/>
          <w:sz w:val="30"/>
          <w:szCs w:val="30"/>
          <w:lang w:eastAsia="zh-CN"/>
        </w:rPr>
        <w:t>技术要</w:t>
      </w:r>
      <w:r>
        <w:rPr>
          <w:rFonts w:hint="eastAsia" w:ascii="仿宋" w:hAnsi="仿宋" w:eastAsia="仿宋" w:cs="仿宋"/>
          <w:b/>
          <w:color w:val="auto"/>
          <w:sz w:val="30"/>
          <w:szCs w:val="30"/>
        </w:rPr>
        <w:t>求</w:t>
      </w:r>
    </w:p>
    <w:p w14:paraId="25EC7B1A">
      <w:pPr>
        <w:spacing w:line="360" w:lineRule="auto"/>
        <w:ind w:firstLine="1830" w:firstLineChars="600"/>
        <w:rPr>
          <w:rFonts w:ascii="仿宋" w:hAnsi="仿宋" w:eastAsia="仿宋" w:cs="仿宋"/>
          <w:b/>
          <w:color w:val="auto"/>
          <w:sz w:val="30"/>
          <w:szCs w:val="30"/>
        </w:rPr>
      </w:pPr>
      <w:r>
        <w:rPr>
          <w:rFonts w:hint="eastAsia" w:ascii="仿宋" w:hAnsi="仿宋" w:eastAsia="仿宋" w:cs="仿宋"/>
          <w:b/>
          <w:color w:val="auto"/>
          <w:sz w:val="30"/>
          <w:szCs w:val="30"/>
        </w:rPr>
        <w:t>第四部分      合同文本（参考）</w:t>
      </w:r>
    </w:p>
    <w:p w14:paraId="363F4A3C">
      <w:pPr>
        <w:spacing w:line="360" w:lineRule="auto"/>
        <w:ind w:firstLine="1830" w:firstLineChars="600"/>
        <w:rPr>
          <w:rFonts w:ascii="仿宋" w:hAnsi="仿宋" w:eastAsia="仿宋" w:cs="仿宋"/>
          <w:b/>
          <w:color w:val="auto"/>
          <w:sz w:val="30"/>
          <w:szCs w:val="30"/>
        </w:rPr>
      </w:pPr>
      <w:r>
        <w:rPr>
          <w:rFonts w:hint="eastAsia" w:ascii="仿宋" w:hAnsi="仿宋" w:eastAsia="仿宋" w:cs="仿宋"/>
          <w:b/>
          <w:color w:val="auto"/>
          <w:sz w:val="30"/>
          <w:szCs w:val="30"/>
        </w:rPr>
        <w:t>第五部分      响应文件格式</w:t>
      </w:r>
    </w:p>
    <w:p w14:paraId="028C0B42">
      <w:pPr>
        <w:pStyle w:val="7"/>
        <w:numPr>
          <w:ilvl w:val="0"/>
          <w:numId w:val="0"/>
        </w:numPr>
        <w:tabs>
          <w:tab w:val="clear" w:pos="780"/>
        </w:tabs>
        <w:rPr>
          <w:rFonts w:ascii="仿宋" w:hAnsi="仿宋" w:eastAsia="仿宋" w:cs="仿宋"/>
          <w:color w:val="auto"/>
        </w:rPr>
      </w:pPr>
    </w:p>
    <w:p w14:paraId="2B634ECE">
      <w:pPr>
        <w:rPr>
          <w:rFonts w:ascii="仿宋" w:hAnsi="仿宋" w:eastAsia="仿宋" w:cs="仿宋"/>
          <w:color w:val="auto"/>
        </w:rPr>
      </w:pPr>
    </w:p>
    <w:p w14:paraId="0C66DF96">
      <w:pPr>
        <w:pStyle w:val="2"/>
        <w:rPr>
          <w:rFonts w:ascii="仿宋" w:hAnsi="仿宋" w:eastAsia="仿宋" w:cs="仿宋"/>
          <w:color w:val="auto"/>
          <w:lang w:eastAsia="zh-CN"/>
        </w:rPr>
      </w:pPr>
    </w:p>
    <w:p w14:paraId="21DC2BBC">
      <w:pPr>
        <w:rPr>
          <w:rFonts w:ascii="仿宋" w:hAnsi="仿宋" w:eastAsia="仿宋" w:cs="仿宋"/>
          <w:color w:val="auto"/>
        </w:rPr>
      </w:pPr>
    </w:p>
    <w:p w14:paraId="3E95B3C3">
      <w:pPr>
        <w:pStyle w:val="2"/>
        <w:rPr>
          <w:rFonts w:ascii="仿宋" w:hAnsi="仿宋" w:eastAsia="仿宋" w:cs="仿宋"/>
          <w:color w:val="auto"/>
        </w:rPr>
      </w:pPr>
    </w:p>
    <w:p w14:paraId="457258C2">
      <w:pPr>
        <w:rPr>
          <w:rFonts w:ascii="仿宋" w:hAnsi="仿宋" w:eastAsia="仿宋" w:cs="仿宋"/>
          <w:color w:val="auto"/>
        </w:rPr>
      </w:pPr>
    </w:p>
    <w:p w14:paraId="33CD176D">
      <w:pPr>
        <w:pStyle w:val="2"/>
        <w:rPr>
          <w:rFonts w:ascii="仿宋" w:hAnsi="仿宋" w:eastAsia="仿宋" w:cs="仿宋"/>
          <w:color w:val="auto"/>
        </w:rPr>
      </w:pPr>
    </w:p>
    <w:p w14:paraId="7E65A576">
      <w:pPr>
        <w:rPr>
          <w:rFonts w:ascii="仿宋" w:hAnsi="仿宋" w:eastAsia="仿宋" w:cs="仿宋"/>
          <w:color w:val="auto"/>
        </w:rPr>
      </w:pPr>
    </w:p>
    <w:p w14:paraId="6B08E359">
      <w:pPr>
        <w:pStyle w:val="2"/>
        <w:rPr>
          <w:rFonts w:ascii="仿宋" w:hAnsi="仿宋" w:eastAsia="仿宋" w:cs="仿宋"/>
          <w:color w:val="auto"/>
        </w:rPr>
      </w:pPr>
    </w:p>
    <w:p w14:paraId="54A4A211">
      <w:pPr>
        <w:rPr>
          <w:rFonts w:ascii="仿宋" w:hAnsi="仿宋" w:eastAsia="仿宋" w:cs="仿宋"/>
          <w:color w:val="auto"/>
        </w:rPr>
      </w:pPr>
    </w:p>
    <w:p w14:paraId="79BA37C7">
      <w:pPr>
        <w:pStyle w:val="26"/>
        <w:keepNext/>
        <w:keepLines/>
        <w:pageBreakBefore w:val="0"/>
        <w:widowControl w:val="0"/>
        <w:numPr>
          <w:ilvl w:val="0"/>
          <w:numId w:val="2"/>
        </w:numPr>
        <w:kinsoku/>
        <w:wordWrap/>
        <w:overflowPunct/>
        <w:topLinePunct w:val="0"/>
        <w:autoSpaceDE/>
        <w:autoSpaceDN/>
        <w:bidi w:val="0"/>
        <w:adjustRightInd/>
        <w:snapToGrid/>
        <w:spacing w:before="120" w:after="300" w:line="400" w:lineRule="exact"/>
        <w:ind w:left="980" w:leftChars="0" w:firstLineChars="0"/>
        <w:textAlignment w:val="auto"/>
        <w:rPr>
          <w:rFonts w:hint="eastAsia" w:ascii="仿宋" w:hAnsi="仿宋" w:eastAsia="仿宋" w:cs="仿宋"/>
          <w:b/>
          <w:bCs/>
          <w:color w:val="auto"/>
          <w:lang w:eastAsia="zh-CN"/>
        </w:rPr>
      </w:pPr>
      <w:r>
        <w:rPr>
          <w:rFonts w:hint="eastAsia" w:ascii="仿宋" w:hAnsi="仿宋" w:eastAsia="仿宋" w:cs="仿宋"/>
          <w:b/>
          <w:bCs/>
          <w:color w:val="auto"/>
          <w:lang w:eastAsia="zh-CN"/>
        </w:rPr>
        <w:t>竞争性谈判公告</w:t>
      </w:r>
      <w:bookmarkStart w:id="0" w:name="_Toc35393789"/>
      <w:bookmarkStart w:id="1" w:name="_Toc28359001"/>
    </w:p>
    <w:p w14:paraId="0A9BE633">
      <w:pPr>
        <w:pStyle w:val="26"/>
        <w:keepNext/>
        <w:keepLines/>
        <w:pageBreakBefore w:val="0"/>
        <w:widowControl w:val="0"/>
        <w:numPr>
          <w:ilvl w:val="0"/>
          <w:numId w:val="0"/>
        </w:numPr>
        <w:kinsoku/>
        <w:wordWrap/>
        <w:overflowPunct/>
        <w:topLinePunct w:val="0"/>
        <w:autoSpaceDE/>
        <w:autoSpaceDN/>
        <w:bidi w:val="0"/>
        <w:adjustRightInd/>
        <w:snapToGrid/>
        <w:spacing w:before="120" w:after="300" w:line="400" w:lineRule="exact"/>
        <w:ind w:left="980" w:leftChars="0"/>
        <w:jc w:val="center"/>
        <w:textAlignment w:val="auto"/>
        <w:rPr>
          <w:rFonts w:hint="eastAsia" w:ascii="仿宋" w:hAnsi="仿宋" w:eastAsia="仿宋" w:cs="仿宋"/>
          <w:b/>
          <w:bCs/>
          <w:color w:val="auto"/>
          <w:sz w:val="24"/>
          <w:szCs w:val="24"/>
          <w:lang w:eastAsia="zh-CN"/>
        </w:rPr>
      </w:pPr>
      <w:r>
        <w:rPr>
          <w:rFonts w:hint="eastAsia" w:ascii="仿宋" w:hAnsi="仿宋" w:eastAsia="仿宋" w:cs="仿宋"/>
          <w:b/>
          <w:bCs/>
          <w:sz w:val="24"/>
          <w:szCs w:val="24"/>
          <w:lang w:val="en-US" w:eastAsia="zh-CN"/>
        </w:rPr>
        <w:t>克孜勒苏柯尔克孜自治州质量与计量检验检测中心检验检测设备采购项目竞争性谈判公告</w:t>
      </w:r>
    </w:p>
    <w:bookmarkEnd w:id="0"/>
    <w:bookmarkEnd w:id="1"/>
    <w:tbl>
      <w:tblPr>
        <w:tblStyle w:val="42"/>
        <w:tblW w:w="9310"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310"/>
      </w:tblGrid>
      <w:tr w14:paraId="48769FB1">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252" w:hRule="atLeast"/>
        </w:trPr>
        <w:tc>
          <w:tcPr>
            <w:tcW w:w="9310" w:type="dxa"/>
            <w:noWrap w:val="0"/>
            <w:vAlign w:val="top"/>
          </w:tcPr>
          <w:p w14:paraId="66CB0F48">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right="0"/>
              <w:textAlignment w:val="auto"/>
              <w:rPr>
                <w:rFonts w:hint="eastAsia" w:ascii="仿宋" w:hAnsi="仿宋" w:eastAsia="仿宋" w:cs="仿宋"/>
                <w:sz w:val="22"/>
                <w:szCs w:val="22"/>
                <w:vertAlign w:val="baseline"/>
              </w:rPr>
            </w:pPr>
            <w:r>
              <w:rPr>
                <w:rFonts w:hint="eastAsia" w:ascii="仿宋" w:hAnsi="仿宋" w:eastAsia="仿宋" w:cs="仿宋"/>
                <w:sz w:val="22"/>
                <w:szCs w:val="22"/>
                <w:vertAlign w:val="baseline"/>
              </w:rPr>
              <w:t>项目概况</w:t>
            </w:r>
          </w:p>
          <w:p w14:paraId="2A3284D1">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right="0" w:firstLine="450" w:firstLineChars="200"/>
              <w:textAlignment w:val="auto"/>
            </w:pPr>
            <w:r>
              <w:rPr>
                <w:rFonts w:hint="eastAsia" w:ascii="仿宋" w:hAnsi="仿宋" w:eastAsia="仿宋" w:cs="仿宋"/>
                <w:sz w:val="22"/>
                <w:szCs w:val="22"/>
                <w:vertAlign w:val="baseline"/>
                <w:lang w:val="en-US" w:eastAsia="zh-CN"/>
              </w:rPr>
              <w:t>克孜勒苏柯尔克孜自治州质量与计量检验检测中心检验检测设备采购项目</w:t>
            </w:r>
            <w:r>
              <w:rPr>
                <w:rFonts w:hint="eastAsia" w:ascii="仿宋" w:hAnsi="仿宋" w:eastAsia="仿宋" w:cs="仿宋"/>
                <w:sz w:val="22"/>
                <w:szCs w:val="22"/>
                <w:vertAlign w:val="baseline"/>
              </w:rPr>
              <w:t>的潜在供应商应在政采云平台线上获取采购文件，并于202</w:t>
            </w:r>
            <w:r>
              <w:rPr>
                <w:rFonts w:hint="eastAsia" w:ascii="仿宋" w:hAnsi="仿宋" w:eastAsia="仿宋" w:cs="仿宋"/>
                <w:sz w:val="22"/>
                <w:szCs w:val="22"/>
                <w:vertAlign w:val="baseline"/>
                <w:lang w:val="en-US" w:eastAsia="zh-CN"/>
              </w:rPr>
              <w:t>5</w:t>
            </w:r>
            <w:r>
              <w:rPr>
                <w:rFonts w:hint="eastAsia" w:ascii="仿宋" w:hAnsi="仿宋" w:eastAsia="仿宋" w:cs="仿宋"/>
                <w:sz w:val="22"/>
                <w:szCs w:val="22"/>
                <w:vertAlign w:val="baseline"/>
              </w:rPr>
              <w:t>年</w:t>
            </w:r>
            <w:r>
              <w:rPr>
                <w:rFonts w:hint="eastAsia" w:ascii="仿宋" w:hAnsi="仿宋" w:eastAsia="仿宋" w:cs="仿宋"/>
                <w:sz w:val="22"/>
                <w:szCs w:val="22"/>
                <w:vertAlign w:val="baseline"/>
                <w:lang w:val="en-US" w:eastAsia="zh-CN"/>
              </w:rPr>
              <w:t>5</w:t>
            </w:r>
            <w:r>
              <w:rPr>
                <w:rFonts w:hint="eastAsia" w:ascii="仿宋" w:hAnsi="仿宋" w:eastAsia="仿宋" w:cs="仿宋"/>
                <w:sz w:val="22"/>
                <w:szCs w:val="22"/>
                <w:vertAlign w:val="baseline"/>
              </w:rPr>
              <w:t>月</w:t>
            </w:r>
            <w:r>
              <w:rPr>
                <w:rFonts w:hint="eastAsia" w:ascii="仿宋" w:hAnsi="仿宋" w:eastAsia="仿宋" w:cs="仿宋"/>
                <w:sz w:val="22"/>
                <w:szCs w:val="22"/>
                <w:vertAlign w:val="baseline"/>
                <w:lang w:val="en-US" w:eastAsia="zh-CN"/>
              </w:rPr>
              <w:t>13</w:t>
            </w:r>
            <w:r>
              <w:rPr>
                <w:rFonts w:hint="eastAsia" w:ascii="仿宋" w:hAnsi="仿宋" w:eastAsia="仿宋" w:cs="仿宋"/>
                <w:sz w:val="22"/>
                <w:szCs w:val="22"/>
                <w:vertAlign w:val="baseline"/>
              </w:rPr>
              <w:t>日</w:t>
            </w:r>
            <w:r>
              <w:rPr>
                <w:rFonts w:hint="eastAsia" w:ascii="仿宋" w:hAnsi="仿宋" w:eastAsia="仿宋" w:cs="仿宋"/>
                <w:sz w:val="22"/>
                <w:szCs w:val="22"/>
                <w:vertAlign w:val="baseline"/>
                <w:lang w:val="en-US" w:eastAsia="zh-CN"/>
              </w:rPr>
              <w:t>16:30</w:t>
            </w:r>
            <w:r>
              <w:rPr>
                <w:rFonts w:hint="eastAsia" w:ascii="仿宋" w:hAnsi="仿宋" w:eastAsia="仿宋" w:cs="仿宋"/>
                <w:sz w:val="22"/>
                <w:szCs w:val="22"/>
                <w:vertAlign w:val="baseline"/>
              </w:rPr>
              <w:t>（北京时间）前提交响应文件。</w:t>
            </w:r>
          </w:p>
        </w:tc>
      </w:tr>
    </w:tbl>
    <w:p w14:paraId="0D981662">
      <w:pPr>
        <w:pStyle w:val="15"/>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auto"/>
        <w:ind w:left="0" w:right="0"/>
        <w:jc w:val="both"/>
        <w:textAlignment w:val="auto"/>
        <w:rPr>
          <w:rFonts w:ascii="黑体" w:hAnsi="宋体" w:eastAsia="黑体" w:cs="黑体"/>
          <w:sz w:val="22"/>
          <w:szCs w:val="22"/>
        </w:rPr>
      </w:pPr>
      <w:bookmarkStart w:id="2" w:name="bookmark3"/>
      <w:bookmarkEnd w:id="2"/>
      <w:r>
        <w:rPr>
          <w:rStyle w:val="20"/>
          <w:rFonts w:ascii="黑体" w:hAnsi="宋体" w:eastAsia="黑体" w:cs="黑体"/>
          <w:sz w:val="22"/>
          <w:szCs w:val="22"/>
        </w:rPr>
        <w:t>一、项目基本情况</w:t>
      </w:r>
    </w:p>
    <w:p w14:paraId="031DC122">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eastAsia="仿宋"/>
          <w:sz w:val="21"/>
          <w:szCs w:val="21"/>
          <w:lang w:val="en-US" w:eastAsia="zh-CN"/>
        </w:rPr>
      </w:pPr>
      <w:r>
        <w:rPr>
          <w:rFonts w:hint="eastAsia" w:ascii="仿宋" w:hAnsi="仿宋" w:eastAsia="仿宋" w:cs="仿宋"/>
          <w:sz w:val="22"/>
          <w:szCs w:val="22"/>
        </w:rPr>
        <w:t>项目编号：KZZB-2025056</w:t>
      </w:r>
    </w:p>
    <w:p w14:paraId="5CB15D12">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lang w:val="en-US" w:eastAsia="zh-CN"/>
        </w:rPr>
      </w:pPr>
      <w:r>
        <w:rPr>
          <w:rFonts w:hint="eastAsia" w:ascii="仿宋" w:hAnsi="仿宋" w:eastAsia="仿宋" w:cs="仿宋"/>
          <w:sz w:val="22"/>
          <w:szCs w:val="22"/>
        </w:rPr>
        <w:t>项目名称：</w:t>
      </w:r>
      <w:r>
        <w:rPr>
          <w:rFonts w:hint="eastAsia" w:ascii="仿宋" w:hAnsi="仿宋" w:eastAsia="仿宋" w:cs="仿宋"/>
          <w:sz w:val="22"/>
          <w:szCs w:val="22"/>
          <w:lang w:val="en-US" w:eastAsia="zh-CN"/>
        </w:rPr>
        <w:t>克孜勒苏柯尔克孜自治州质量与计量检验检测中心检验检测设备采购项目</w:t>
      </w:r>
    </w:p>
    <w:p w14:paraId="32B693F7">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eastAsia="仿宋"/>
          <w:sz w:val="21"/>
          <w:szCs w:val="21"/>
          <w:lang w:eastAsia="zh-CN"/>
        </w:rPr>
      </w:pPr>
      <w:r>
        <w:rPr>
          <w:rFonts w:hint="eastAsia" w:ascii="仿宋" w:hAnsi="仿宋" w:eastAsia="仿宋" w:cs="仿宋"/>
          <w:sz w:val="22"/>
          <w:szCs w:val="22"/>
        </w:rPr>
        <w:t>采购方式：</w:t>
      </w:r>
      <w:r>
        <w:rPr>
          <w:rFonts w:hint="eastAsia" w:ascii="仿宋" w:hAnsi="仿宋" w:eastAsia="仿宋" w:cs="仿宋"/>
          <w:sz w:val="22"/>
          <w:szCs w:val="22"/>
          <w:lang w:eastAsia="zh-CN"/>
        </w:rPr>
        <w:t>竞争性</w:t>
      </w:r>
      <w:r>
        <w:rPr>
          <w:rFonts w:hint="eastAsia" w:ascii="仿宋" w:hAnsi="仿宋" w:eastAsia="仿宋" w:cs="仿宋"/>
          <w:sz w:val="22"/>
          <w:szCs w:val="22"/>
          <w:lang w:val="en-US" w:eastAsia="zh-CN"/>
        </w:rPr>
        <w:t>谈判</w:t>
      </w:r>
    </w:p>
    <w:p w14:paraId="375B5A2C">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eastAsia="仿宋"/>
          <w:sz w:val="21"/>
          <w:szCs w:val="21"/>
          <w:lang w:val="en-US" w:eastAsia="zh-CN"/>
        </w:rPr>
      </w:pPr>
      <w:r>
        <w:rPr>
          <w:rFonts w:hint="eastAsia" w:ascii="仿宋" w:hAnsi="仿宋" w:eastAsia="仿宋" w:cs="仿宋"/>
          <w:sz w:val="22"/>
          <w:szCs w:val="22"/>
        </w:rPr>
        <w:t>预算金额（元）：</w:t>
      </w:r>
      <w:r>
        <w:rPr>
          <w:rFonts w:hint="eastAsia" w:ascii="仿宋" w:hAnsi="仿宋" w:eastAsia="仿宋" w:cs="仿宋"/>
          <w:sz w:val="22"/>
          <w:szCs w:val="22"/>
          <w:lang w:val="en-US" w:eastAsia="zh-CN"/>
        </w:rPr>
        <w:t>690000.00</w:t>
      </w:r>
    </w:p>
    <w:p w14:paraId="6365C839">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eastAsia="仿宋"/>
          <w:sz w:val="21"/>
          <w:szCs w:val="21"/>
          <w:lang w:val="en-US" w:eastAsia="zh-CN"/>
        </w:rPr>
      </w:pPr>
      <w:r>
        <w:rPr>
          <w:rFonts w:hint="eastAsia" w:ascii="仿宋" w:hAnsi="仿宋" w:eastAsia="仿宋" w:cs="仿宋"/>
          <w:sz w:val="22"/>
          <w:szCs w:val="22"/>
        </w:rPr>
        <w:t>最高限价（元）：</w:t>
      </w:r>
      <w:r>
        <w:rPr>
          <w:rFonts w:hint="eastAsia" w:ascii="仿宋" w:hAnsi="仿宋" w:eastAsia="仿宋" w:cs="仿宋"/>
          <w:sz w:val="22"/>
          <w:szCs w:val="22"/>
          <w:lang w:val="en-US" w:eastAsia="zh-CN"/>
        </w:rPr>
        <w:t>690000.00</w:t>
      </w:r>
    </w:p>
    <w:p w14:paraId="76025D4F">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509" w:leftChars="208" w:right="0" w:firstLine="0" w:firstLineChars="0"/>
        <w:textAlignment w:val="auto"/>
        <w:rPr>
          <w:sz w:val="21"/>
          <w:szCs w:val="21"/>
        </w:rPr>
      </w:pPr>
      <w:r>
        <w:rPr>
          <w:rFonts w:hint="eastAsia" w:ascii="仿宋" w:hAnsi="仿宋" w:eastAsia="仿宋" w:cs="仿宋"/>
          <w:sz w:val="22"/>
          <w:szCs w:val="22"/>
        </w:rPr>
        <w:t>采购需求：</w:t>
      </w:r>
      <w:r>
        <w:rPr>
          <w:rFonts w:hint="eastAsia" w:ascii="仿宋" w:hAnsi="仿宋" w:eastAsia="仿宋" w:cs="仿宋"/>
          <w:sz w:val="22"/>
          <w:szCs w:val="22"/>
          <w:shd w:val="clear" w:color="auto" w:fill="F7F7F7"/>
        </w:rPr>
        <w:br w:type="textWrapping"/>
      </w:r>
      <w:r>
        <w:rPr>
          <w:rFonts w:hint="eastAsia" w:ascii="仿宋" w:hAnsi="仿宋" w:eastAsia="仿宋" w:cs="仿宋"/>
          <w:sz w:val="22"/>
          <w:szCs w:val="22"/>
          <w:shd w:val="clear" w:color="auto" w:fill="F7F7F7"/>
        </w:rPr>
        <w:t>标项名称:</w:t>
      </w:r>
      <w:r>
        <w:rPr>
          <w:rFonts w:hint="eastAsia" w:ascii="仿宋" w:hAnsi="仿宋" w:eastAsia="仿宋" w:cs="仿宋"/>
          <w:sz w:val="22"/>
          <w:szCs w:val="22"/>
          <w:shd w:val="clear" w:color="auto" w:fill="F7F7F7"/>
          <w:lang w:val="en-US" w:eastAsia="zh-CN"/>
        </w:rPr>
        <w:t> 克孜勒苏柯尔克孜自治州质量与计量检验检测中心检验检测设备采购项目</w:t>
      </w:r>
      <w:r>
        <w:rPr>
          <w:rFonts w:hint="eastAsia" w:ascii="仿宋" w:hAnsi="仿宋" w:eastAsia="仿宋" w:cs="仿宋"/>
          <w:sz w:val="22"/>
          <w:szCs w:val="22"/>
          <w:shd w:val="clear" w:color="auto" w:fill="F7F7F7"/>
        </w:rPr>
        <w:br w:type="textWrapping"/>
      </w:r>
      <w:r>
        <w:rPr>
          <w:rFonts w:hint="eastAsia" w:ascii="仿宋" w:hAnsi="仿宋" w:eastAsia="仿宋" w:cs="仿宋"/>
          <w:sz w:val="22"/>
          <w:szCs w:val="22"/>
          <w:shd w:val="clear" w:color="auto" w:fill="F7F7F7"/>
        </w:rPr>
        <w:t>数量:1</w:t>
      </w:r>
      <w:r>
        <w:rPr>
          <w:rFonts w:hint="eastAsia" w:ascii="仿宋" w:hAnsi="仿宋" w:eastAsia="仿宋" w:cs="仿宋"/>
          <w:sz w:val="22"/>
          <w:szCs w:val="22"/>
          <w:shd w:val="clear" w:color="auto" w:fill="F7F7F7"/>
        </w:rPr>
        <w:br w:type="textWrapping"/>
      </w:r>
      <w:r>
        <w:rPr>
          <w:rFonts w:hint="eastAsia" w:ascii="仿宋" w:hAnsi="仿宋" w:eastAsia="仿宋" w:cs="仿宋"/>
          <w:sz w:val="22"/>
          <w:szCs w:val="22"/>
          <w:shd w:val="clear" w:color="auto" w:fill="F7F7F7"/>
        </w:rPr>
        <w:t>预算金额（元）:</w:t>
      </w:r>
      <w:r>
        <w:rPr>
          <w:rFonts w:hint="eastAsia" w:ascii="仿宋" w:hAnsi="仿宋" w:eastAsia="仿宋" w:cs="仿宋"/>
          <w:sz w:val="22"/>
          <w:szCs w:val="22"/>
          <w:shd w:val="clear" w:color="auto" w:fill="F7F7F7"/>
          <w:lang w:val="en-US" w:eastAsia="zh-CN"/>
        </w:rPr>
        <w:t>690000.00</w:t>
      </w:r>
      <w:r>
        <w:rPr>
          <w:rFonts w:hint="eastAsia" w:ascii="仿宋" w:hAnsi="仿宋" w:eastAsia="仿宋" w:cs="仿宋"/>
          <w:sz w:val="22"/>
          <w:szCs w:val="22"/>
          <w:shd w:val="clear" w:color="auto" w:fill="F7F7F7"/>
        </w:rPr>
        <w:br w:type="textWrapping"/>
      </w:r>
      <w:r>
        <w:rPr>
          <w:rFonts w:hint="eastAsia" w:ascii="仿宋" w:hAnsi="仿宋" w:eastAsia="仿宋" w:cs="仿宋"/>
          <w:sz w:val="22"/>
          <w:szCs w:val="22"/>
          <w:shd w:val="clear" w:color="auto" w:fill="F7F7F7"/>
        </w:rPr>
        <w:t>简要规格描述或项目基本概况介绍、用途：相关设备一批，具体内容详见</w:t>
      </w:r>
      <w:r>
        <w:rPr>
          <w:rFonts w:hint="eastAsia" w:ascii="仿宋" w:hAnsi="仿宋" w:eastAsia="仿宋" w:cs="仿宋"/>
          <w:sz w:val="22"/>
          <w:szCs w:val="22"/>
          <w:shd w:val="clear" w:color="auto" w:fill="F7F7F7"/>
          <w:lang w:eastAsia="zh-CN"/>
        </w:rPr>
        <w:t>竞争性谈判文件。</w:t>
      </w:r>
      <w:r>
        <w:rPr>
          <w:rFonts w:hint="eastAsia" w:ascii="仿宋" w:hAnsi="仿宋" w:eastAsia="仿宋" w:cs="仿宋"/>
          <w:sz w:val="22"/>
          <w:szCs w:val="22"/>
          <w:shd w:val="clear" w:color="auto" w:fill="F7F7F7"/>
        </w:rPr>
        <w:br w:type="textWrapping"/>
      </w:r>
      <w:r>
        <w:rPr>
          <w:rFonts w:hint="eastAsia" w:ascii="仿宋" w:hAnsi="仿宋" w:eastAsia="仿宋" w:cs="仿宋"/>
          <w:sz w:val="22"/>
          <w:szCs w:val="22"/>
          <w:shd w:val="clear" w:color="auto" w:fill="F7F7F7"/>
        </w:rPr>
        <w:t>备注：</w:t>
      </w:r>
    </w:p>
    <w:p w14:paraId="6638926F">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eastAsia="仿宋"/>
          <w:sz w:val="21"/>
          <w:szCs w:val="21"/>
          <w:lang w:eastAsia="zh-CN"/>
        </w:rPr>
      </w:pPr>
      <w:r>
        <w:rPr>
          <w:rFonts w:hint="eastAsia" w:ascii="仿宋" w:hAnsi="仿宋" w:eastAsia="仿宋" w:cs="仿宋"/>
          <w:sz w:val="22"/>
          <w:szCs w:val="22"/>
        </w:rPr>
        <w:t>合同履约期限：标项1，具体详见</w:t>
      </w:r>
      <w:r>
        <w:rPr>
          <w:rFonts w:hint="eastAsia" w:ascii="仿宋" w:hAnsi="仿宋" w:eastAsia="仿宋" w:cs="仿宋"/>
          <w:sz w:val="22"/>
          <w:szCs w:val="22"/>
          <w:lang w:eastAsia="zh-CN"/>
        </w:rPr>
        <w:t>竞争性</w:t>
      </w:r>
      <w:r>
        <w:rPr>
          <w:rFonts w:hint="eastAsia" w:ascii="仿宋" w:hAnsi="仿宋" w:eastAsia="仿宋" w:cs="仿宋"/>
          <w:sz w:val="22"/>
          <w:szCs w:val="22"/>
          <w:lang w:val="en-US" w:eastAsia="zh-CN"/>
        </w:rPr>
        <w:t>谈判</w:t>
      </w:r>
      <w:r>
        <w:rPr>
          <w:rFonts w:hint="eastAsia" w:ascii="仿宋" w:hAnsi="仿宋" w:eastAsia="仿宋" w:cs="仿宋"/>
          <w:sz w:val="22"/>
          <w:szCs w:val="22"/>
          <w:lang w:eastAsia="zh-CN"/>
        </w:rPr>
        <w:t>文件</w:t>
      </w:r>
    </w:p>
    <w:p w14:paraId="0D2BA669">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本项目（否）接受联合体投标。</w:t>
      </w:r>
    </w:p>
    <w:p w14:paraId="70463C6C">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textAlignment w:val="auto"/>
        <w:rPr>
          <w:sz w:val="21"/>
          <w:szCs w:val="21"/>
        </w:rPr>
      </w:pPr>
      <w:r>
        <w:rPr>
          <w:rStyle w:val="20"/>
          <w:rFonts w:ascii="黑体" w:hAnsi="宋体" w:eastAsia="黑体" w:cs="黑体"/>
          <w:sz w:val="22"/>
          <w:szCs w:val="22"/>
        </w:rPr>
        <w:t>二、申请人的资格要求：</w:t>
      </w:r>
    </w:p>
    <w:p w14:paraId="1BF46AD7">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1.满足《中华人民共和国政府采购法》第二十二条规定；</w:t>
      </w:r>
    </w:p>
    <w:p w14:paraId="12FAF4B7">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2.落实政府采购政策需满足的资格要求：标项1：供应商为中小企业</w:t>
      </w:r>
    </w:p>
    <w:p w14:paraId="2D95B276">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3.本项目的特定资格要求：</w:t>
      </w:r>
      <w:r>
        <w:rPr>
          <w:rFonts w:hint="eastAsia" w:ascii="仿宋" w:hAnsi="仿宋" w:eastAsia="仿宋" w:cs="仿宋"/>
          <w:sz w:val="22"/>
          <w:szCs w:val="22"/>
        </w:rPr>
        <w:br w:type="textWrapping"/>
      </w:r>
      <w:r>
        <w:rPr>
          <w:rFonts w:hint="eastAsia" w:ascii="仿宋" w:hAnsi="仿宋" w:eastAsia="仿宋" w:cs="仿宋"/>
          <w:sz w:val="22"/>
          <w:szCs w:val="22"/>
        </w:rPr>
        <w:t>【标项1】</w:t>
      </w:r>
      <w:r>
        <w:rPr>
          <w:rFonts w:hint="eastAsia" w:ascii="仿宋" w:hAnsi="仿宋" w:eastAsia="仿宋" w:cs="仿宋"/>
          <w:sz w:val="22"/>
          <w:szCs w:val="22"/>
        </w:rPr>
        <w:br w:type="textWrapping"/>
      </w:r>
      <w:r>
        <w:rPr>
          <w:rFonts w:hint="eastAsia" w:ascii="仿宋" w:hAnsi="仿宋" w:eastAsia="仿宋" w:cs="仿宋"/>
          <w:sz w:val="22"/>
          <w:szCs w:val="22"/>
        </w:rPr>
        <w:t>（1）具备三证合一营业执照</w:t>
      </w:r>
      <w:r>
        <w:rPr>
          <w:rFonts w:hint="eastAsia" w:ascii="仿宋" w:hAnsi="仿宋" w:eastAsia="仿宋" w:cs="仿宋"/>
          <w:sz w:val="22"/>
          <w:szCs w:val="22"/>
        </w:rPr>
        <w:br w:type="textWrapping"/>
      </w:r>
      <w:r>
        <w:rPr>
          <w:rFonts w:hint="eastAsia" w:ascii="仿宋" w:hAnsi="仿宋" w:eastAsia="仿宋" w:cs="仿宋"/>
          <w:sz w:val="22"/>
          <w:szCs w:val="22"/>
        </w:rPr>
        <w:t>（2）法定代表人投标需提供法定代表人资格证明书，委托代理人投标需提供法定代表人授权委托书</w:t>
      </w:r>
      <w:r>
        <w:rPr>
          <w:rFonts w:hint="eastAsia" w:ascii="仿宋" w:hAnsi="仿宋" w:eastAsia="仿宋" w:cs="仿宋"/>
          <w:sz w:val="22"/>
          <w:szCs w:val="22"/>
        </w:rPr>
        <w:br w:type="textWrapping"/>
      </w:r>
      <w:r>
        <w:rPr>
          <w:rFonts w:hint="eastAsia" w:ascii="仿宋" w:hAnsi="仿宋" w:eastAsia="仿宋" w:cs="仿宋"/>
          <w:sz w:val="22"/>
          <w:szCs w:val="22"/>
        </w:rPr>
        <w:t>（3）投标企业须提供投标人（被授权在职人员）近</w:t>
      </w:r>
      <w:r>
        <w:rPr>
          <w:rFonts w:hint="eastAsia" w:ascii="仿宋" w:hAnsi="仿宋" w:eastAsia="仿宋" w:cs="仿宋"/>
          <w:sz w:val="22"/>
          <w:szCs w:val="22"/>
          <w:lang w:val="en-US" w:eastAsia="zh-CN"/>
        </w:rPr>
        <w:t>6</w:t>
      </w:r>
      <w:r>
        <w:rPr>
          <w:rFonts w:hint="eastAsia" w:ascii="仿宋" w:hAnsi="仿宋" w:eastAsia="仿宋" w:cs="仿宋"/>
          <w:sz w:val="22"/>
          <w:szCs w:val="22"/>
        </w:rPr>
        <w:t>个月</w:t>
      </w:r>
      <w:r>
        <w:rPr>
          <w:rFonts w:hint="eastAsia" w:ascii="仿宋" w:hAnsi="仿宋" w:eastAsia="仿宋" w:cs="仿宋"/>
          <w:sz w:val="22"/>
          <w:szCs w:val="22"/>
          <w:lang w:val="en-US" w:eastAsia="zh-CN"/>
        </w:rPr>
        <w:t>任意一个月</w:t>
      </w:r>
      <w:r>
        <w:rPr>
          <w:rFonts w:hint="eastAsia" w:ascii="仿宋" w:hAnsi="仿宋" w:eastAsia="仿宋" w:cs="仿宋"/>
          <w:sz w:val="22"/>
          <w:szCs w:val="22"/>
        </w:rPr>
        <w:t>有效的社保证明</w:t>
      </w:r>
      <w:r>
        <w:rPr>
          <w:rFonts w:hint="eastAsia" w:ascii="仿宋" w:hAnsi="仿宋" w:eastAsia="仿宋" w:cs="仿宋"/>
          <w:sz w:val="22"/>
          <w:szCs w:val="22"/>
        </w:rPr>
        <w:br w:type="textWrapping"/>
      </w:r>
      <w:r>
        <w:rPr>
          <w:rFonts w:hint="eastAsia" w:ascii="仿宋" w:hAnsi="仿宋" w:eastAsia="仿宋" w:cs="仿宋"/>
          <w:sz w:val="22"/>
          <w:szCs w:val="22"/>
        </w:rPr>
        <w:t>（4）未被“信用中国”（www.creditchina.gov.cn）、中国政府采购网（www.ccgp.gov.cn）列入失信被执行人、重大税收违法案件当事人名单、政府采购严重违法失信行为记录名单（提供查询结果网页截图并加盖供应商公章）</w:t>
      </w:r>
    </w:p>
    <w:p w14:paraId="161A3A47">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right="0"/>
        <w:textAlignment w:val="auto"/>
        <w:rPr>
          <w:rFonts w:hint="eastAsia" w:ascii="仿宋" w:hAnsi="仿宋" w:eastAsia="仿宋" w:cs="仿宋"/>
          <w:sz w:val="22"/>
          <w:szCs w:val="22"/>
          <w:lang w:eastAsia="zh-CN"/>
        </w:rPr>
      </w:pP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5</w:t>
      </w:r>
      <w:r>
        <w:rPr>
          <w:rFonts w:hint="eastAsia" w:ascii="仿宋" w:hAnsi="仿宋" w:eastAsia="仿宋" w:cs="仿宋"/>
          <w:sz w:val="22"/>
          <w:szCs w:val="22"/>
          <w:lang w:eastAsia="zh-CN"/>
        </w:rPr>
        <w:t>）供应商须提供中小企业声明函；</w:t>
      </w:r>
    </w:p>
    <w:p w14:paraId="1FB38AB5">
      <w:pPr>
        <w:pStyle w:val="15"/>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00" w:lineRule="exact"/>
        <w:ind w:left="0" w:right="0"/>
        <w:jc w:val="both"/>
        <w:textAlignment w:val="auto"/>
        <w:rPr>
          <w:rFonts w:hint="eastAsia" w:ascii="黑体" w:hAnsi="宋体" w:eastAsia="黑体" w:cs="黑体"/>
          <w:sz w:val="22"/>
          <w:szCs w:val="22"/>
          <w:lang w:eastAsia="zh-CN"/>
        </w:rPr>
      </w:pPr>
      <w:r>
        <w:rPr>
          <w:rStyle w:val="20"/>
          <w:rFonts w:ascii="黑体" w:hAnsi="宋体" w:eastAsia="黑体" w:cs="黑体"/>
          <w:sz w:val="22"/>
          <w:szCs w:val="22"/>
        </w:rPr>
        <w:t>三、获取</w:t>
      </w:r>
      <w:r>
        <w:rPr>
          <w:rStyle w:val="20"/>
          <w:rFonts w:hint="eastAsia" w:ascii="黑体" w:hAnsi="宋体" w:eastAsia="黑体" w:cs="黑体"/>
          <w:sz w:val="22"/>
          <w:szCs w:val="22"/>
          <w:lang w:eastAsia="zh-CN"/>
        </w:rPr>
        <w:t>竞争性</w:t>
      </w:r>
      <w:r>
        <w:rPr>
          <w:rStyle w:val="20"/>
          <w:rFonts w:hint="eastAsia" w:ascii="黑体" w:eastAsia="黑体" w:cs="黑体"/>
          <w:sz w:val="22"/>
          <w:szCs w:val="22"/>
          <w:lang w:val="en-US" w:eastAsia="zh-CN"/>
        </w:rPr>
        <w:t>谈判</w:t>
      </w:r>
      <w:r>
        <w:rPr>
          <w:rStyle w:val="20"/>
          <w:rFonts w:hint="eastAsia" w:ascii="黑体" w:hAnsi="宋体" w:eastAsia="黑体" w:cs="黑体"/>
          <w:sz w:val="22"/>
          <w:szCs w:val="22"/>
          <w:lang w:eastAsia="zh-CN"/>
        </w:rPr>
        <w:t>文件</w:t>
      </w:r>
    </w:p>
    <w:p w14:paraId="6754DB2E">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时间：202</w:t>
      </w:r>
      <w:r>
        <w:rPr>
          <w:rFonts w:hint="eastAsia" w:ascii="仿宋" w:hAnsi="仿宋" w:eastAsia="仿宋" w:cs="仿宋"/>
          <w:sz w:val="22"/>
          <w:szCs w:val="22"/>
          <w:lang w:val="en-US" w:eastAsia="zh-CN"/>
        </w:rPr>
        <w:t>5</w:t>
      </w:r>
      <w:r>
        <w:rPr>
          <w:rFonts w:hint="eastAsia" w:ascii="仿宋" w:hAnsi="仿宋" w:eastAsia="仿宋" w:cs="仿宋"/>
          <w:sz w:val="22"/>
          <w:szCs w:val="22"/>
        </w:rPr>
        <w:t>年</w:t>
      </w:r>
      <w:r>
        <w:rPr>
          <w:rFonts w:hint="eastAsia" w:ascii="仿宋" w:hAnsi="仿宋" w:eastAsia="仿宋" w:cs="仿宋"/>
          <w:sz w:val="22"/>
          <w:szCs w:val="22"/>
          <w:lang w:val="en-US" w:eastAsia="zh-CN"/>
        </w:rPr>
        <w:t>4</w:t>
      </w:r>
      <w:r>
        <w:rPr>
          <w:rFonts w:hint="eastAsia" w:ascii="仿宋" w:hAnsi="仿宋" w:eastAsia="仿宋" w:cs="仿宋"/>
          <w:sz w:val="22"/>
          <w:szCs w:val="22"/>
        </w:rPr>
        <w:t>月</w:t>
      </w:r>
      <w:r>
        <w:rPr>
          <w:rFonts w:hint="eastAsia" w:ascii="仿宋" w:hAnsi="仿宋" w:eastAsia="仿宋" w:cs="仿宋"/>
          <w:sz w:val="22"/>
          <w:szCs w:val="22"/>
          <w:lang w:val="en-US" w:eastAsia="zh-CN"/>
        </w:rPr>
        <w:t>30</w:t>
      </w:r>
      <w:r>
        <w:rPr>
          <w:rFonts w:hint="eastAsia" w:ascii="仿宋" w:hAnsi="仿宋" w:eastAsia="仿宋" w:cs="仿宋"/>
          <w:sz w:val="22"/>
          <w:szCs w:val="22"/>
        </w:rPr>
        <w:t>日至202</w:t>
      </w:r>
      <w:r>
        <w:rPr>
          <w:rFonts w:hint="eastAsia" w:ascii="仿宋" w:hAnsi="仿宋" w:eastAsia="仿宋" w:cs="仿宋"/>
          <w:sz w:val="22"/>
          <w:szCs w:val="22"/>
          <w:lang w:val="en-US" w:eastAsia="zh-CN"/>
        </w:rPr>
        <w:t>5</w:t>
      </w:r>
      <w:r>
        <w:rPr>
          <w:rFonts w:hint="eastAsia" w:ascii="仿宋" w:hAnsi="仿宋" w:eastAsia="仿宋" w:cs="仿宋"/>
          <w:sz w:val="22"/>
          <w:szCs w:val="22"/>
        </w:rPr>
        <w:t>年</w:t>
      </w:r>
      <w:r>
        <w:rPr>
          <w:rFonts w:hint="eastAsia" w:ascii="仿宋" w:hAnsi="仿宋" w:eastAsia="仿宋" w:cs="仿宋"/>
          <w:sz w:val="22"/>
          <w:szCs w:val="22"/>
          <w:lang w:val="en-US" w:eastAsia="zh-CN"/>
        </w:rPr>
        <w:t>5</w:t>
      </w:r>
      <w:r>
        <w:rPr>
          <w:rFonts w:hint="eastAsia" w:ascii="仿宋" w:hAnsi="仿宋" w:eastAsia="仿宋" w:cs="仿宋"/>
          <w:sz w:val="22"/>
          <w:szCs w:val="22"/>
        </w:rPr>
        <w:t>月</w:t>
      </w:r>
      <w:r>
        <w:rPr>
          <w:rFonts w:hint="eastAsia" w:ascii="仿宋" w:hAnsi="仿宋" w:eastAsia="仿宋" w:cs="仿宋"/>
          <w:sz w:val="22"/>
          <w:szCs w:val="22"/>
          <w:lang w:val="en-US" w:eastAsia="zh-CN"/>
        </w:rPr>
        <w:t>7</w:t>
      </w:r>
      <w:r>
        <w:rPr>
          <w:rFonts w:hint="eastAsia" w:ascii="仿宋" w:hAnsi="仿宋" w:eastAsia="仿宋" w:cs="仿宋"/>
          <w:sz w:val="22"/>
          <w:szCs w:val="22"/>
        </w:rPr>
        <w:t>日，每天上午10:00至14:00，下午16:00至19:30（北京时间，法定节假日除外）</w:t>
      </w:r>
    </w:p>
    <w:p w14:paraId="05B94A24">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地点：登陆政采云平台http://www.zcygov.cn/，在线申请（登录政府采购云平台 → 项目采购 → 获取</w:t>
      </w:r>
      <w:r>
        <w:rPr>
          <w:rFonts w:hint="eastAsia" w:ascii="仿宋" w:hAnsi="仿宋" w:eastAsia="仿宋" w:cs="仿宋"/>
          <w:sz w:val="22"/>
          <w:szCs w:val="22"/>
          <w:lang w:eastAsia="zh-CN"/>
        </w:rPr>
        <w:t>竞争性谈判文件</w:t>
      </w:r>
      <w:r>
        <w:rPr>
          <w:rFonts w:hint="eastAsia" w:ascii="仿宋" w:hAnsi="仿宋" w:eastAsia="仿宋" w:cs="仿宋"/>
          <w:sz w:val="22"/>
          <w:szCs w:val="22"/>
        </w:rPr>
        <w:t>→申请，审核通过后可下载</w:t>
      </w:r>
      <w:r>
        <w:rPr>
          <w:rFonts w:hint="eastAsia" w:ascii="仿宋" w:hAnsi="仿宋" w:eastAsia="仿宋" w:cs="仿宋"/>
          <w:sz w:val="22"/>
          <w:szCs w:val="22"/>
          <w:lang w:eastAsia="zh-CN"/>
        </w:rPr>
        <w:t>竞争性谈判文件</w:t>
      </w:r>
      <w:r>
        <w:rPr>
          <w:rFonts w:hint="eastAsia" w:ascii="仿宋" w:hAnsi="仿宋" w:eastAsia="仿宋" w:cs="仿宋"/>
          <w:sz w:val="22"/>
          <w:szCs w:val="22"/>
        </w:rPr>
        <w:t>，如有操作性问题，可与政采云在线客服进行咨询，咨询电话：95763）</w:t>
      </w:r>
    </w:p>
    <w:p w14:paraId="002D553F">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方式：</w:t>
      </w:r>
      <w:r>
        <w:rPr>
          <w:rFonts w:hint="eastAsia" w:ascii="仿宋" w:hAnsi="仿宋" w:eastAsia="仿宋" w:cs="仿宋"/>
          <w:sz w:val="24"/>
          <w:szCs w:val="24"/>
        </w:rPr>
        <w:t>供应商登录政采云平台https://www.zcygov.cn/在线申请获取</w:t>
      </w:r>
      <w:r>
        <w:rPr>
          <w:rFonts w:hint="eastAsia" w:ascii="仿宋" w:hAnsi="仿宋" w:eastAsia="仿宋" w:cs="仿宋"/>
          <w:sz w:val="24"/>
          <w:szCs w:val="24"/>
          <w:lang w:eastAsia="zh-CN"/>
        </w:rPr>
        <w:t>竞争性谈判文件</w:t>
      </w:r>
      <w:r>
        <w:rPr>
          <w:rFonts w:hint="eastAsia" w:ascii="仿宋" w:hAnsi="仿宋" w:eastAsia="仿宋" w:cs="仿宋"/>
          <w:sz w:val="24"/>
          <w:szCs w:val="24"/>
        </w:rPr>
        <w:t>（进入“项目采购”应用，在获取</w:t>
      </w:r>
      <w:r>
        <w:rPr>
          <w:rFonts w:hint="eastAsia" w:ascii="仿宋" w:hAnsi="仿宋" w:eastAsia="仿宋" w:cs="仿宋"/>
          <w:sz w:val="24"/>
          <w:szCs w:val="24"/>
          <w:lang w:eastAsia="zh-CN"/>
        </w:rPr>
        <w:t>竞争性谈判文件</w:t>
      </w:r>
      <w:r>
        <w:rPr>
          <w:rFonts w:hint="eastAsia" w:ascii="仿宋" w:hAnsi="仿宋" w:eastAsia="仿宋" w:cs="仿宋"/>
          <w:sz w:val="24"/>
          <w:szCs w:val="24"/>
        </w:rPr>
        <w:t>菜单中选择项目，申请获取</w:t>
      </w:r>
      <w:r>
        <w:rPr>
          <w:rFonts w:hint="eastAsia" w:ascii="仿宋" w:hAnsi="仿宋" w:eastAsia="仿宋" w:cs="仿宋"/>
          <w:sz w:val="24"/>
          <w:szCs w:val="24"/>
          <w:lang w:eastAsia="zh-CN"/>
        </w:rPr>
        <w:t>竞争性谈判文件</w:t>
      </w:r>
      <w:r>
        <w:rPr>
          <w:rFonts w:hint="eastAsia" w:ascii="仿宋" w:hAnsi="仿宋" w:eastAsia="仿宋" w:cs="仿宋"/>
          <w:sz w:val="24"/>
          <w:szCs w:val="24"/>
        </w:rPr>
        <w:t>）。</w:t>
      </w:r>
    </w:p>
    <w:p w14:paraId="67B0FEDF">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售价（元）：0</w:t>
      </w:r>
    </w:p>
    <w:p w14:paraId="30D59F4B">
      <w:pPr>
        <w:pStyle w:val="15"/>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300" w:lineRule="exact"/>
        <w:ind w:left="0" w:right="0"/>
        <w:jc w:val="both"/>
        <w:textAlignment w:val="auto"/>
        <w:rPr>
          <w:rFonts w:ascii="黑体" w:hAnsi="宋体" w:eastAsia="黑体" w:cs="黑体"/>
          <w:sz w:val="22"/>
          <w:szCs w:val="22"/>
        </w:rPr>
      </w:pPr>
      <w:r>
        <w:rPr>
          <w:rStyle w:val="20"/>
          <w:rFonts w:ascii="黑体" w:hAnsi="宋体" w:eastAsia="黑体" w:cs="黑体"/>
          <w:sz w:val="22"/>
          <w:szCs w:val="22"/>
        </w:rPr>
        <w:t>四、提交投标文件截止时间、开标时间和地点</w:t>
      </w:r>
    </w:p>
    <w:p w14:paraId="65E1A8E4">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提交投标文件截止时间：202</w:t>
      </w:r>
      <w:r>
        <w:rPr>
          <w:rFonts w:hint="eastAsia" w:ascii="仿宋" w:hAnsi="仿宋" w:eastAsia="仿宋" w:cs="仿宋"/>
          <w:sz w:val="22"/>
          <w:szCs w:val="22"/>
          <w:lang w:val="en-US" w:eastAsia="zh-CN"/>
        </w:rPr>
        <w:t>5</w:t>
      </w:r>
      <w:r>
        <w:rPr>
          <w:rFonts w:hint="eastAsia" w:ascii="仿宋" w:hAnsi="仿宋" w:eastAsia="仿宋" w:cs="仿宋"/>
          <w:sz w:val="22"/>
          <w:szCs w:val="22"/>
        </w:rPr>
        <w:t>年</w:t>
      </w:r>
      <w:r>
        <w:rPr>
          <w:rFonts w:hint="eastAsia" w:ascii="仿宋" w:hAnsi="仿宋" w:eastAsia="仿宋" w:cs="仿宋"/>
          <w:sz w:val="22"/>
          <w:szCs w:val="22"/>
          <w:lang w:val="en-US" w:eastAsia="zh-CN"/>
        </w:rPr>
        <w:t>5</w:t>
      </w:r>
      <w:r>
        <w:rPr>
          <w:rFonts w:hint="eastAsia" w:ascii="仿宋" w:hAnsi="仿宋" w:eastAsia="仿宋" w:cs="仿宋"/>
          <w:sz w:val="22"/>
          <w:szCs w:val="22"/>
        </w:rPr>
        <w:t>月</w:t>
      </w:r>
      <w:r>
        <w:rPr>
          <w:rFonts w:hint="eastAsia" w:ascii="仿宋" w:hAnsi="仿宋" w:eastAsia="仿宋" w:cs="仿宋"/>
          <w:sz w:val="22"/>
          <w:szCs w:val="22"/>
          <w:lang w:val="en-US" w:eastAsia="zh-CN"/>
        </w:rPr>
        <w:t>13</w:t>
      </w:r>
      <w:r>
        <w:rPr>
          <w:rFonts w:hint="eastAsia" w:ascii="仿宋" w:hAnsi="仿宋" w:eastAsia="仿宋" w:cs="仿宋"/>
          <w:sz w:val="22"/>
          <w:szCs w:val="22"/>
        </w:rPr>
        <w:t>日1</w:t>
      </w:r>
      <w:r>
        <w:rPr>
          <w:rFonts w:hint="eastAsia" w:ascii="仿宋" w:hAnsi="仿宋" w:eastAsia="仿宋" w:cs="仿宋"/>
          <w:sz w:val="22"/>
          <w:szCs w:val="22"/>
          <w:lang w:val="en-US" w:eastAsia="zh-CN"/>
        </w:rPr>
        <w:t>0</w:t>
      </w:r>
      <w:r>
        <w:rPr>
          <w:rFonts w:hint="eastAsia" w:ascii="仿宋" w:hAnsi="仿宋" w:eastAsia="仿宋" w:cs="仿宋"/>
          <w:sz w:val="22"/>
          <w:szCs w:val="22"/>
        </w:rPr>
        <w:t>:30（北京时间）</w:t>
      </w:r>
    </w:p>
    <w:p w14:paraId="09ABC655">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投标地点：政采云平台https://www.zcygov.cn</w:t>
      </w:r>
    </w:p>
    <w:p w14:paraId="04B914B6">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开标时间：202</w:t>
      </w:r>
      <w:r>
        <w:rPr>
          <w:rFonts w:hint="eastAsia" w:ascii="仿宋" w:hAnsi="仿宋" w:eastAsia="仿宋" w:cs="仿宋"/>
          <w:sz w:val="22"/>
          <w:szCs w:val="22"/>
          <w:lang w:val="en-US" w:eastAsia="zh-CN"/>
        </w:rPr>
        <w:t>5</w:t>
      </w:r>
      <w:r>
        <w:rPr>
          <w:rFonts w:hint="eastAsia" w:ascii="仿宋" w:hAnsi="仿宋" w:eastAsia="仿宋" w:cs="仿宋"/>
          <w:sz w:val="22"/>
          <w:szCs w:val="22"/>
        </w:rPr>
        <w:t>年</w:t>
      </w:r>
      <w:r>
        <w:rPr>
          <w:rFonts w:hint="eastAsia" w:ascii="仿宋" w:hAnsi="仿宋" w:eastAsia="仿宋" w:cs="仿宋"/>
          <w:sz w:val="22"/>
          <w:szCs w:val="22"/>
          <w:lang w:val="en-US" w:eastAsia="zh-CN"/>
        </w:rPr>
        <w:t>5</w:t>
      </w:r>
      <w:r>
        <w:rPr>
          <w:rFonts w:hint="eastAsia" w:ascii="仿宋" w:hAnsi="仿宋" w:eastAsia="仿宋" w:cs="仿宋"/>
          <w:sz w:val="22"/>
          <w:szCs w:val="22"/>
        </w:rPr>
        <w:t>月</w:t>
      </w:r>
      <w:r>
        <w:rPr>
          <w:rFonts w:hint="eastAsia" w:ascii="仿宋" w:hAnsi="仿宋" w:eastAsia="仿宋" w:cs="仿宋"/>
          <w:sz w:val="22"/>
          <w:szCs w:val="22"/>
          <w:lang w:val="en-US" w:eastAsia="zh-CN"/>
        </w:rPr>
        <w:t>13</w:t>
      </w:r>
      <w:r>
        <w:rPr>
          <w:rFonts w:hint="eastAsia" w:ascii="仿宋" w:hAnsi="仿宋" w:eastAsia="仿宋" w:cs="仿宋"/>
          <w:sz w:val="22"/>
          <w:szCs w:val="22"/>
        </w:rPr>
        <w:t>日1</w:t>
      </w:r>
      <w:r>
        <w:rPr>
          <w:rFonts w:hint="eastAsia" w:ascii="仿宋" w:hAnsi="仿宋" w:eastAsia="仿宋" w:cs="仿宋"/>
          <w:sz w:val="22"/>
          <w:szCs w:val="22"/>
          <w:lang w:val="en-US" w:eastAsia="zh-CN"/>
        </w:rPr>
        <w:t>0</w:t>
      </w:r>
      <w:r>
        <w:rPr>
          <w:rFonts w:hint="eastAsia" w:ascii="仿宋" w:hAnsi="仿宋" w:eastAsia="仿宋" w:cs="仿宋"/>
          <w:sz w:val="22"/>
          <w:szCs w:val="22"/>
        </w:rPr>
        <w:t>:30（北京时间）</w:t>
      </w:r>
    </w:p>
    <w:p w14:paraId="1E666F55">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开标地点：投标人登录政采云平台https://www.zcygov.cn/，进入“项目采购-开标评标-右边选择对应项目点击“进入项目”进入开标大厅。</w:t>
      </w:r>
    </w:p>
    <w:p w14:paraId="6ED8D822">
      <w:pPr>
        <w:pStyle w:val="15"/>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exact"/>
        <w:ind w:left="0" w:right="0"/>
        <w:jc w:val="both"/>
        <w:textAlignment w:val="auto"/>
        <w:rPr>
          <w:rFonts w:ascii="黑体" w:hAnsi="宋体" w:eastAsia="黑体" w:cs="黑体"/>
          <w:sz w:val="24"/>
          <w:szCs w:val="24"/>
        </w:rPr>
      </w:pPr>
      <w:r>
        <w:rPr>
          <w:rStyle w:val="20"/>
          <w:rFonts w:ascii="黑体" w:hAnsi="宋体" w:eastAsia="黑体" w:cs="黑体"/>
          <w:sz w:val="22"/>
          <w:szCs w:val="22"/>
        </w:rPr>
        <w:t>五、公告期限</w:t>
      </w:r>
    </w:p>
    <w:p w14:paraId="4FB85425">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自本公告发布之日起</w:t>
      </w:r>
      <w:r>
        <w:rPr>
          <w:rFonts w:hint="eastAsia" w:ascii="仿宋" w:hAnsi="仿宋" w:eastAsia="仿宋" w:cs="仿宋"/>
          <w:sz w:val="22"/>
          <w:szCs w:val="22"/>
          <w:lang w:val="en-US" w:eastAsia="zh-CN"/>
        </w:rPr>
        <w:t>3</w:t>
      </w:r>
      <w:r>
        <w:rPr>
          <w:rFonts w:hint="eastAsia" w:ascii="仿宋" w:hAnsi="仿宋" w:eastAsia="仿宋" w:cs="仿宋"/>
          <w:sz w:val="22"/>
          <w:szCs w:val="22"/>
        </w:rPr>
        <w:t>个工作日。</w:t>
      </w:r>
    </w:p>
    <w:p w14:paraId="5A249C9C">
      <w:pPr>
        <w:pStyle w:val="15"/>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exact"/>
        <w:ind w:left="0" w:right="0"/>
        <w:jc w:val="both"/>
        <w:textAlignment w:val="auto"/>
        <w:rPr>
          <w:rFonts w:ascii="黑体" w:hAnsi="宋体" w:eastAsia="黑体" w:cs="黑体"/>
          <w:sz w:val="22"/>
          <w:szCs w:val="22"/>
        </w:rPr>
      </w:pPr>
      <w:r>
        <w:rPr>
          <w:rStyle w:val="20"/>
          <w:rFonts w:ascii="黑体" w:hAnsi="宋体" w:eastAsia="黑体" w:cs="黑体"/>
          <w:sz w:val="22"/>
          <w:szCs w:val="22"/>
        </w:rPr>
        <w:t>六、其他补充事宜</w:t>
      </w:r>
    </w:p>
    <w:p w14:paraId="27DE7916">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1、本项目实行网上投标，采用电子投标文件。</w:t>
      </w:r>
    </w:p>
    <w:p w14:paraId="547F0B56">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p>
    <w:p w14:paraId="07992C0E">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3、供应商将政采云电子交易客户端下载、安装完成后，可通过账号密码或CA登录客户端进行投标文件的制作。在使用政采云投标客户端时，建议使用WIN7及以上操作系统。</w:t>
      </w:r>
    </w:p>
    <w:p w14:paraId="33C0E054">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 xml:space="preserve">4、其他事项：/  </w:t>
      </w:r>
    </w:p>
    <w:p w14:paraId="7C88221D">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特别提示：</w:t>
      </w:r>
    </w:p>
    <w:p w14:paraId="49933B12">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1、采购限额标准以上，200万元以下的货物和服务采购项目、400万元以下的工程采购项目，适宜由中小企业提供的，采购人应当专门面向中小企业采购。</w:t>
      </w:r>
    </w:p>
    <w:p w14:paraId="190CFE09">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2、超过200万元的货物和服务采购项目，预留该部分采购项目预算总额的30%以上专门面向中小企业采购，其中预留给小微企业的比例不低于60%。</w:t>
      </w:r>
    </w:p>
    <w:p w14:paraId="712EC8D8">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3、超过400万元的工程采购项目中适宜由中小企业提供的，预留该部分采购项目预算总额的40%以上专门面向中小企业采购，其中预留给小微企业的比例不低于60%。</w:t>
      </w:r>
    </w:p>
    <w:p w14:paraId="41DEC1EE">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4、对于未预留份额专门面向中小企业的采购项目，以及预留份额项目中的非预留部分采购包，采购人、采购代理机构应当对符合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19985DD0">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w:t>
      </w:r>
    </w:p>
    <w:p w14:paraId="67283756">
      <w:pPr>
        <w:pStyle w:val="15"/>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exact"/>
        <w:ind w:left="0" w:right="0"/>
        <w:jc w:val="both"/>
        <w:textAlignment w:val="auto"/>
        <w:rPr>
          <w:rFonts w:ascii="黑体" w:hAnsi="宋体" w:eastAsia="黑体" w:cs="黑体"/>
          <w:sz w:val="24"/>
          <w:szCs w:val="24"/>
        </w:rPr>
      </w:pPr>
      <w:r>
        <w:rPr>
          <w:rStyle w:val="20"/>
          <w:rFonts w:ascii="黑体" w:hAnsi="宋体" w:eastAsia="黑体" w:cs="黑体"/>
          <w:sz w:val="22"/>
          <w:szCs w:val="22"/>
        </w:rPr>
        <w:t>七、对本次采购提出询问，请按以下方式联系</w:t>
      </w:r>
    </w:p>
    <w:p w14:paraId="1175A56A">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1"/>
          <w:szCs w:val="21"/>
        </w:rPr>
      </w:pPr>
      <w:r>
        <w:rPr>
          <w:rFonts w:hint="eastAsia" w:ascii="仿宋" w:hAnsi="仿宋" w:eastAsia="仿宋" w:cs="仿宋"/>
          <w:sz w:val="22"/>
          <w:szCs w:val="22"/>
        </w:rPr>
        <w:t>1.采购人信息</w:t>
      </w:r>
    </w:p>
    <w:p w14:paraId="7E792D1E">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Style w:val="22"/>
          <w:rFonts w:hint="eastAsia" w:ascii="仿宋" w:hAnsi="仿宋" w:eastAsia="仿宋" w:cs="仿宋"/>
          <w:sz w:val="22"/>
          <w:szCs w:val="22"/>
          <w:lang w:val="en-US" w:eastAsia="zh-CN"/>
        </w:rPr>
      </w:pPr>
      <w:r>
        <w:rPr>
          <w:rFonts w:hint="eastAsia" w:ascii="仿宋" w:hAnsi="仿宋" w:eastAsia="仿宋" w:cs="仿宋"/>
          <w:sz w:val="22"/>
          <w:szCs w:val="22"/>
        </w:rPr>
        <w:t>名 称：</w:t>
      </w:r>
      <w:r>
        <w:rPr>
          <w:rStyle w:val="22"/>
          <w:rFonts w:hint="eastAsia" w:ascii="仿宋" w:hAnsi="仿宋" w:eastAsia="仿宋" w:cs="仿宋"/>
          <w:sz w:val="22"/>
          <w:szCs w:val="22"/>
          <w:lang w:eastAsia="zh-CN"/>
        </w:rPr>
        <w:t>克孜勒苏柯尔克孜自治州质量与计量检验检测中心</w:t>
      </w:r>
    </w:p>
    <w:p w14:paraId="08CC718D">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1"/>
          <w:szCs w:val="21"/>
        </w:rPr>
      </w:pPr>
      <w:r>
        <w:rPr>
          <w:rFonts w:hint="eastAsia" w:ascii="仿宋" w:hAnsi="仿宋" w:eastAsia="仿宋" w:cs="仿宋"/>
          <w:sz w:val="22"/>
          <w:szCs w:val="22"/>
        </w:rPr>
        <w:t>地 址：阿图什市友谊路北16号院</w:t>
      </w:r>
    </w:p>
    <w:p w14:paraId="3536C8C9">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ascii="仿宋" w:hAnsi="仿宋" w:eastAsia="仿宋" w:cs="仿宋"/>
          <w:sz w:val="22"/>
          <w:szCs w:val="22"/>
          <w:lang w:val="en-US"/>
        </w:rPr>
      </w:pPr>
      <w:r>
        <w:rPr>
          <w:rFonts w:hint="eastAsia" w:ascii="仿宋" w:hAnsi="仿宋" w:eastAsia="仿宋" w:cs="仿宋"/>
          <w:sz w:val="22"/>
          <w:szCs w:val="22"/>
        </w:rPr>
        <w:t>联系方式：</w:t>
      </w:r>
      <w:r>
        <w:rPr>
          <w:rFonts w:hint="eastAsia" w:ascii="仿宋" w:hAnsi="仿宋" w:eastAsia="仿宋" w:cs="仿宋"/>
          <w:sz w:val="22"/>
          <w:szCs w:val="22"/>
          <w:lang w:val="en-US" w:eastAsia="zh-CN"/>
        </w:rPr>
        <w:t xml:space="preserve">何先生/15209088821 </w:t>
      </w:r>
    </w:p>
    <w:p w14:paraId="4D6C55AC">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1"/>
          <w:szCs w:val="21"/>
        </w:rPr>
      </w:pPr>
      <w:r>
        <w:rPr>
          <w:rFonts w:hint="eastAsia" w:ascii="仿宋" w:hAnsi="仿宋" w:eastAsia="仿宋" w:cs="仿宋"/>
          <w:sz w:val="22"/>
          <w:szCs w:val="22"/>
        </w:rPr>
        <w:t>2.采购代理机构信息</w:t>
      </w:r>
    </w:p>
    <w:p w14:paraId="6E7920EB">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ascii="仿宋" w:hAnsi="仿宋" w:eastAsia="仿宋" w:cs="仿宋"/>
          <w:sz w:val="21"/>
          <w:szCs w:val="21"/>
          <w:lang w:val="en-US"/>
        </w:rPr>
      </w:pPr>
      <w:r>
        <w:rPr>
          <w:rFonts w:hint="eastAsia" w:ascii="仿宋" w:hAnsi="仿宋" w:eastAsia="仿宋" w:cs="仿宋"/>
          <w:sz w:val="22"/>
          <w:szCs w:val="22"/>
        </w:rPr>
        <w:t>名 称：</w:t>
      </w:r>
      <w:r>
        <w:rPr>
          <w:rFonts w:hint="eastAsia" w:ascii="仿宋" w:hAnsi="仿宋" w:eastAsia="仿宋" w:cs="仿宋"/>
          <w:sz w:val="22"/>
          <w:szCs w:val="22"/>
          <w:lang w:val="en-US" w:eastAsia="zh-CN"/>
        </w:rPr>
        <w:t>新疆能实建设工程项目管理咨询有限责任公司</w:t>
      </w:r>
    </w:p>
    <w:p w14:paraId="077B3E7F">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ascii="仿宋" w:hAnsi="仿宋" w:eastAsia="仿宋" w:cs="仿宋"/>
          <w:sz w:val="21"/>
          <w:szCs w:val="21"/>
          <w:lang w:val="en-US"/>
        </w:rPr>
      </w:pPr>
      <w:r>
        <w:rPr>
          <w:rFonts w:hint="eastAsia" w:ascii="仿宋" w:hAnsi="仿宋" w:eastAsia="仿宋" w:cs="仿宋"/>
          <w:sz w:val="22"/>
          <w:szCs w:val="22"/>
        </w:rPr>
        <w:t>地 址：</w:t>
      </w:r>
      <w:r>
        <w:rPr>
          <w:rFonts w:hint="eastAsia" w:ascii="仿宋" w:hAnsi="仿宋" w:eastAsia="仿宋" w:cs="仿宋"/>
          <w:sz w:val="22"/>
          <w:szCs w:val="22"/>
          <w:lang w:eastAsia="zh-CN"/>
        </w:rPr>
        <w:t>克州阿图什市金汇小区斜对面</w:t>
      </w:r>
    </w:p>
    <w:p w14:paraId="585F08C1">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ascii="仿宋" w:hAnsi="仿宋" w:eastAsia="仿宋" w:cs="仿宋"/>
          <w:sz w:val="21"/>
          <w:szCs w:val="21"/>
          <w:lang w:val="en-US" w:eastAsia="zh-CN"/>
        </w:rPr>
      </w:pPr>
      <w:r>
        <w:rPr>
          <w:rFonts w:hint="eastAsia" w:ascii="仿宋" w:hAnsi="仿宋" w:eastAsia="仿宋" w:cs="仿宋"/>
          <w:sz w:val="22"/>
          <w:szCs w:val="22"/>
        </w:rPr>
        <w:t>联系方式：</w:t>
      </w:r>
      <w:r>
        <w:rPr>
          <w:rFonts w:hint="eastAsia" w:ascii="仿宋" w:hAnsi="仿宋" w:eastAsia="仿宋" w:cs="仿宋"/>
          <w:sz w:val="22"/>
          <w:szCs w:val="22"/>
          <w:lang w:val="en-US" w:eastAsia="zh-CN"/>
        </w:rPr>
        <w:t>16698959998</w:t>
      </w:r>
    </w:p>
    <w:p w14:paraId="292E5187">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1"/>
          <w:szCs w:val="21"/>
        </w:rPr>
      </w:pPr>
      <w:r>
        <w:rPr>
          <w:rFonts w:hint="eastAsia" w:ascii="仿宋" w:hAnsi="仿宋" w:eastAsia="仿宋" w:cs="仿宋"/>
          <w:sz w:val="22"/>
          <w:szCs w:val="22"/>
        </w:rPr>
        <w:t>3.项目联系方式</w:t>
      </w:r>
    </w:p>
    <w:p w14:paraId="5E25247D">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lang w:val="en-US" w:eastAsia="zh-CN"/>
        </w:rPr>
      </w:pPr>
      <w:r>
        <w:rPr>
          <w:rFonts w:hint="eastAsia" w:ascii="仿宋" w:hAnsi="仿宋" w:eastAsia="仿宋" w:cs="仿宋"/>
          <w:sz w:val="22"/>
          <w:szCs w:val="22"/>
        </w:rPr>
        <w:t>项目联系人：</w:t>
      </w:r>
      <w:r>
        <w:rPr>
          <w:rFonts w:hint="eastAsia" w:ascii="仿宋" w:hAnsi="仿宋" w:eastAsia="仿宋" w:cs="仿宋"/>
          <w:sz w:val="22"/>
          <w:szCs w:val="22"/>
          <w:lang w:val="en-US" w:eastAsia="zh-CN"/>
        </w:rPr>
        <w:t>罗先生</w:t>
      </w:r>
    </w:p>
    <w:p w14:paraId="1B7BB883">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color w:val="auto"/>
        </w:rPr>
      </w:pPr>
      <w:r>
        <w:rPr>
          <w:rFonts w:hint="eastAsia" w:ascii="仿宋" w:hAnsi="仿宋" w:eastAsia="仿宋" w:cs="仿宋"/>
          <w:sz w:val="22"/>
          <w:szCs w:val="22"/>
        </w:rPr>
        <w:t>电 话：</w:t>
      </w:r>
      <w:r>
        <w:rPr>
          <w:rFonts w:hint="eastAsia" w:ascii="仿宋" w:hAnsi="仿宋" w:eastAsia="仿宋" w:cs="仿宋"/>
          <w:sz w:val="22"/>
          <w:szCs w:val="22"/>
          <w:lang w:val="en-US" w:eastAsia="zh-CN"/>
        </w:rPr>
        <w:t>16698959998</w:t>
      </w:r>
    </w:p>
    <w:p w14:paraId="6AC8C465">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40" w:lineRule="exact"/>
        <w:ind w:left="0" w:right="0"/>
        <w:textAlignment w:val="auto"/>
        <w:rPr>
          <w:color w:val="auto"/>
        </w:rPr>
      </w:pPr>
    </w:p>
    <w:p w14:paraId="2DA39F8E">
      <w:pPr>
        <w:pStyle w:val="15"/>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40" w:lineRule="exact"/>
        <w:ind w:left="0" w:right="0"/>
        <w:textAlignment w:val="auto"/>
        <w:rPr>
          <w:color w:val="auto"/>
        </w:rPr>
      </w:pPr>
    </w:p>
    <w:p w14:paraId="0E14B631">
      <w:pPr>
        <w:pStyle w:val="26"/>
        <w:keepNext/>
        <w:keepLines/>
        <w:pageBreakBefore w:val="0"/>
        <w:widowControl w:val="0"/>
        <w:kinsoku/>
        <w:wordWrap/>
        <w:overflowPunct/>
        <w:topLinePunct w:val="0"/>
        <w:autoSpaceDE/>
        <w:autoSpaceDN/>
        <w:bidi w:val="0"/>
        <w:adjustRightInd/>
        <w:snapToGrid/>
        <w:spacing w:before="0" w:after="240" w:line="400" w:lineRule="exact"/>
        <w:jc w:val="center"/>
        <w:textAlignment w:val="auto"/>
        <w:rPr>
          <w:rFonts w:hint="eastAsia" w:ascii="仿宋" w:hAnsi="仿宋" w:eastAsia="仿宋" w:cs="仿宋"/>
          <w:b/>
          <w:bCs/>
          <w:color w:val="auto"/>
        </w:rPr>
      </w:pPr>
    </w:p>
    <w:p w14:paraId="52707755">
      <w:pPr>
        <w:pStyle w:val="27"/>
        <w:pageBreakBefore w:val="0"/>
        <w:widowControl w:val="0"/>
        <w:kinsoku/>
        <w:wordWrap/>
        <w:overflowPunct/>
        <w:topLinePunct w:val="0"/>
        <w:autoSpaceDE/>
        <w:autoSpaceDN/>
        <w:bidi w:val="0"/>
        <w:adjustRightInd/>
        <w:snapToGrid/>
        <w:spacing w:after="0" w:line="400" w:lineRule="exact"/>
        <w:jc w:val="left"/>
        <w:textAlignment w:val="auto"/>
        <w:rPr>
          <w:rFonts w:hint="eastAsia" w:ascii="仿宋" w:hAnsi="仿宋" w:eastAsia="仿宋" w:cs="仿宋"/>
          <w:color w:val="auto"/>
          <w:sz w:val="28"/>
          <w:szCs w:val="28"/>
          <w:lang w:eastAsia="zh-CN"/>
        </w:rPr>
      </w:pPr>
    </w:p>
    <w:p w14:paraId="031996AC">
      <w:pPr>
        <w:pStyle w:val="27"/>
        <w:pageBreakBefore w:val="0"/>
        <w:widowControl w:val="0"/>
        <w:kinsoku/>
        <w:wordWrap/>
        <w:overflowPunct/>
        <w:topLinePunct w:val="0"/>
        <w:autoSpaceDE/>
        <w:autoSpaceDN/>
        <w:bidi w:val="0"/>
        <w:adjustRightInd/>
        <w:snapToGrid/>
        <w:spacing w:after="0" w:line="400" w:lineRule="exact"/>
        <w:jc w:val="left"/>
        <w:textAlignment w:val="auto"/>
        <w:rPr>
          <w:rFonts w:hint="eastAsia" w:ascii="仿宋" w:hAnsi="仿宋" w:eastAsia="仿宋" w:cs="仿宋"/>
          <w:color w:val="auto"/>
          <w:sz w:val="28"/>
          <w:szCs w:val="28"/>
          <w:lang w:eastAsia="zh-CN"/>
        </w:rPr>
      </w:pPr>
    </w:p>
    <w:p w14:paraId="6803A792">
      <w:pPr>
        <w:pStyle w:val="27"/>
        <w:pageBreakBefore w:val="0"/>
        <w:widowControl w:val="0"/>
        <w:kinsoku/>
        <w:wordWrap/>
        <w:overflowPunct/>
        <w:topLinePunct w:val="0"/>
        <w:autoSpaceDE/>
        <w:autoSpaceDN/>
        <w:bidi w:val="0"/>
        <w:adjustRightInd/>
        <w:snapToGrid/>
        <w:spacing w:after="0" w:line="400" w:lineRule="exact"/>
        <w:jc w:val="left"/>
        <w:textAlignment w:val="auto"/>
        <w:rPr>
          <w:rFonts w:hint="eastAsia" w:ascii="仿宋" w:hAnsi="仿宋" w:eastAsia="仿宋" w:cs="仿宋"/>
          <w:color w:val="auto"/>
          <w:sz w:val="28"/>
          <w:szCs w:val="28"/>
          <w:lang w:eastAsia="zh-CN"/>
        </w:rPr>
      </w:pPr>
    </w:p>
    <w:p w14:paraId="2ABD313C">
      <w:pPr>
        <w:pStyle w:val="27"/>
        <w:pageBreakBefore w:val="0"/>
        <w:widowControl w:val="0"/>
        <w:kinsoku/>
        <w:wordWrap/>
        <w:overflowPunct/>
        <w:topLinePunct w:val="0"/>
        <w:autoSpaceDE/>
        <w:autoSpaceDN/>
        <w:bidi w:val="0"/>
        <w:adjustRightInd/>
        <w:snapToGrid/>
        <w:spacing w:after="0" w:line="400" w:lineRule="exact"/>
        <w:jc w:val="left"/>
        <w:textAlignment w:val="auto"/>
        <w:rPr>
          <w:rFonts w:hint="eastAsia" w:ascii="仿宋" w:hAnsi="仿宋" w:eastAsia="仿宋" w:cs="仿宋"/>
          <w:color w:val="auto"/>
          <w:sz w:val="28"/>
          <w:szCs w:val="28"/>
          <w:lang w:eastAsia="zh-CN"/>
        </w:rPr>
      </w:pPr>
    </w:p>
    <w:p w14:paraId="4C91E4BF">
      <w:pPr>
        <w:pStyle w:val="27"/>
        <w:pageBreakBefore w:val="0"/>
        <w:widowControl w:val="0"/>
        <w:kinsoku/>
        <w:wordWrap/>
        <w:overflowPunct/>
        <w:topLinePunct w:val="0"/>
        <w:autoSpaceDE/>
        <w:autoSpaceDN/>
        <w:bidi w:val="0"/>
        <w:adjustRightInd/>
        <w:snapToGrid/>
        <w:spacing w:after="0" w:line="400" w:lineRule="exact"/>
        <w:jc w:val="left"/>
        <w:textAlignment w:val="auto"/>
        <w:rPr>
          <w:rFonts w:hint="eastAsia" w:ascii="仿宋" w:hAnsi="仿宋" w:eastAsia="仿宋" w:cs="仿宋"/>
          <w:color w:val="auto"/>
          <w:sz w:val="28"/>
          <w:szCs w:val="28"/>
          <w:lang w:eastAsia="zh-CN"/>
        </w:rPr>
      </w:pPr>
    </w:p>
    <w:p w14:paraId="50C1ABE6">
      <w:pPr>
        <w:pStyle w:val="27"/>
        <w:pageBreakBefore w:val="0"/>
        <w:widowControl w:val="0"/>
        <w:kinsoku/>
        <w:wordWrap/>
        <w:overflowPunct/>
        <w:topLinePunct w:val="0"/>
        <w:autoSpaceDE/>
        <w:autoSpaceDN/>
        <w:bidi w:val="0"/>
        <w:adjustRightInd/>
        <w:snapToGrid/>
        <w:spacing w:after="0" w:line="400" w:lineRule="exact"/>
        <w:jc w:val="left"/>
        <w:textAlignment w:val="auto"/>
        <w:rPr>
          <w:rFonts w:hint="eastAsia" w:ascii="仿宋" w:hAnsi="仿宋" w:eastAsia="仿宋" w:cs="仿宋"/>
          <w:color w:val="auto"/>
          <w:sz w:val="28"/>
          <w:szCs w:val="28"/>
          <w:lang w:eastAsia="zh-CN"/>
        </w:rPr>
      </w:pPr>
    </w:p>
    <w:p w14:paraId="7CEFE4F0">
      <w:pPr>
        <w:pStyle w:val="27"/>
        <w:pageBreakBefore w:val="0"/>
        <w:widowControl w:val="0"/>
        <w:kinsoku/>
        <w:wordWrap/>
        <w:overflowPunct/>
        <w:topLinePunct w:val="0"/>
        <w:autoSpaceDE/>
        <w:autoSpaceDN/>
        <w:bidi w:val="0"/>
        <w:adjustRightInd/>
        <w:snapToGrid/>
        <w:spacing w:after="0" w:line="400" w:lineRule="exact"/>
        <w:jc w:val="left"/>
        <w:textAlignment w:val="auto"/>
        <w:rPr>
          <w:rFonts w:hint="eastAsia" w:ascii="仿宋" w:hAnsi="仿宋" w:eastAsia="仿宋" w:cs="仿宋"/>
          <w:color w:val="auto"/>
          <w:sz w:val="28"/>
          <w:szCs w:val="28"/>
          <w:lang w:eastAsia="zh-CN"/>
        </w:rPr>
      </w:pPr>
    </w:p>
    <w:p w14:paraId="2514A722">
      <w:pPr>
        <w:pStyle w:val="27"/>
        <w:pageBreakBefore w:val="0"/>
        <w:widowControl w:val="0"/>
        <w:kinsoku/>
        <w:wordWrap/>
        <w:overflowPunct/>
        <w:topLinePunct w:val="0"/>
        <w:autoSpaceDE/>
        <w:autoSpaceDN/>
        <w:bidi w:val="0"/>
        <w:adjustRightInd/>
        <w:snapToGrid/>
        <w:spacing w:after="0" w:line="400" w:lineRule="exact"/>
        <w:jc w:val="left"/>
        <w:textAlignment w:val="auto"/>
        <w:rPr>
          <w:rFonts w:hint="eastAsia" w:ascii="仿宋" w:hAnsi="仿宋" w:eastAsia="仿宋" w:cs="仿宋"/>
          <w:color w:val="auto"/>
          <w:sz w:val="28"/>
          <w:szCs w:val="28"/>
          <w:lang w:eastAsia="zh-CN"/>
        </w:rPr>
      </w:pPr>
    </w:p>
    <w:p w14:paraId="7EBAE5B4">
      <w:pPr>
        <w:pStyle w:val="27"/>
        <w:pageBreakBefore w:val="0"/>
        <w:widowControl w:val="0"/>
        <w:kinsoku/>
        <w:wordWrap/>
        <w:overflowPunct/>
        <w:topLinePunct w:val="0"/>
        <w:autoSpaceDE/>
        <w:autoSpaceDN/>
        <w:bidi w:val="0"/>
        <w:adjustRightInd/>
        <w:snapToGrid/>
        <w:spacing w:after="0" w:line="400" w:lineRule="exact"/>
        <w:jc w:val="left"/>
        <w:textAlignment w:val="auto"/>
        <w:rPr>
          <w:rFonts w:hint="eastAsia" w:ascii="仿宋" w:hAnsi="仿宋" w:eastAsia="仿宋" w:cs="仿宋"/>
          <w:color w:val="auto"/>
          <w:sz w:val="28"/>
          <w:szCs w:val="28"/>
          <w:lang w:eastAsia="zh-CN"/>
        </w:rPr>
      </w:pPr>
    </w:p>
    <w:p w14:paraId="5E73DD64">
      <w:pPr>
        <w:pStyle w:val="26"/>
        <w:keepNext/>
        <w:keepLines/>
        <w:pageBreakBefore w:val="0"/>
        <w:widowControl w:val="0"/>
        <w:numPr>
          <w:ilvl w:val="0"/>
          <w:numId w:val="2"/>
        </w:numPr>
        <w:kinsoku/>
        <w:wordWrap/>
        <w:overflowPunct/>
        <w:topLinePunct w:val="0"/>
        <w:autoSpaceDE/>
        <w:autoSpaceDN/>
        <w:bidi w:val="0"/>
        <w:adjustRightInd/>
        <w:snapToGrid/>
        <w:spacing w:before="0" w:after="240" w:line="400" w:lineRule="exact"/>
        <w:ind w:left="980" w:leftChars="0" w:firstLine="0" w:firstLineChars="0"/>
        <w:jc w:val="center"/>
        <w:textAlignment w:val="auto"/>
        <w:rPr>
          <w:rFonts w:ascii="仿宋" w:hAnsi="仿宋" w:eastAsia="仿宋" w:cs="仿宋"/>
          <w:color w:val="auto"/>
        </w:rPr>
      </w:pPr>
      <w:r>
        <w:rPr>
          <w:rFonts w:hint="eastAsia" w:ascii="仿宋" w:hAnsi="仿宋" w:eastAsia="仿宋" w:cs="仿宋"/>
          <w:b/>
          <w:bCs/>
          <w:color w:val="auto"/>
          <w:lang w:val="en-US" w:eastAsia="zh-CN"/>
        </w:rPr>
        <w:t xml:space="preserve"> </w:t>
      </w:r>
      <w:r>
        <w:rPr>
          <w:rFonts w:hint="eastAsia" w:ascii="仿宋" w:hAnsi="仿宋" w:eastAsia="仿宋" w:cs="仿宋"/>
          <w:b/>
          <w:bCs/>
          <w:color w:val="auto"/>
        </w:rPr>
        <w:t>供应商须知</w:t>
      </w:r>
    </w:p>
    <w:tbl>
      <w:tblPr>
        <w:tblStyle w:val="17"/>
        <w:tblpPr w:leftFromText="180" w:rightFromText="180" w:vertAnchor="text" w:horzAnchor="page" w:tblpX="774" w:tblpY="506"/>
        <w:tblOverlap w:val="never"/>
        <w:tblW w:w="5292" w:type="pct"/>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795"/>
        <w:gridCol w:w="1708"/>
        <w:gridCol w:w="8040"/>
      </w:tblGrid>
      <w:tr w14:paraId="39BA9AD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9" w:hRule="atLeast"/>
        </w:trPr>
        <w:tc>
          <w:tcPr>
            <w:tcW w:w="795" w:type="dxa"/>
            <w:noWrap w:val="0"/>
            <w:vAlign w:val="center"/>
          </w:tcPr>
          <w:p w14:paraId="61945F74">
            <w:pPr>
              <w:pStyle w:val="9"/>
              <w:keepNext w:val="0"/>
              <w:keepLines w:val="0"/>
              <w:pageBreakBefore w:val="0"/>
              <w:shd w:val="clear" w:color="auto" w:fill="auto"/>
              <w:kinsoku/>
              <w:wordWrap/>
              <w:overflowPunct/>
              <w:topLinePunct w:val="0"/>
              <w:autoSpaceDE/>
              <w:autoSpaceDN/>
              <w:bidi w:val="0"/>
              <w:adjustRightInd/>
              <w:snapToGrid w:val="0"/>
              <w:spacing w:line="290" w:lineRule="exact"/>
              <w:ind w:left="-110" w:leftChars="-45" w:right="-95" w:rightChars="-39"/>
              <w:jc w:val="center"/>
              <w:textAlignment w:val="auto"/>
              <w:outlineLvl w:val="9"/>
              <w:rPr>
                <w:rFonts w:hint="eastAsia" w:ascii="仿宋" w:hAnsi="仿宋" w:eastAsia="仿宋" w:cs="仿宋"/>
                <w:b/>
                <w:color w:val="auto"/>
                <w:sz w:val="28"/>
                <w:szCs w:val="28"/>
                <w:highlight w:val="none"/>
                <w:lang w:val="en-US" w:eastAsia="zh-CN"/>
              </w:rPr>
            </w:pPr>
            <w:r>
              <w:rPr>
                <w:rFonts w:hint="eastAsia" w:ascii="宋体" w:hAnsi="宋体" w:eastAsia="宋体" w:cs="宋体"/>
                <w:b/>
                <w:color w:val="auto"/>
                <w:sz w:val="21"/>
                <w:szCs w:val="21"/>
                <w:highlight w:val="none"/>
                <w:lang w:val="en-US" w:eastAsia="zh-CN"/>
              </w:rPr>
              <w:t>条款号</w:t>
            </w:r>
          </w:p>
        </w:tc>
        <w:tc>
          <w:tcPr>
            <w:tcW w:w="1708" w:type="dxa"/>
            <w:noWrap w:val="0"/>
            <w:vAlign w:val="center"/>
          </w:tcPr>
          <w:p w14:paraId="586B24B0">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b/>
                <w:color w:val="auto"/>
                <w:sz w:val="28"/>
                <w:szCs w:val="28"/>
                <w:highlight w:val="none"/>
                <w:lang w:val="en-US" w:eastAsia="zh-CN"/>
              </w:rPr>
            </w:pPr>
            <w:r>
              <w:rPr>
                <w:rFonts w:hint="eastAsia" w:ascii="宋体" w:hAnsi="宋体" w:eastAsia="宋体" w:cs="宋体"/>
                <w:b/>
                <w:color w:val="auto"/>
                <w:sz w:val="21"/>
                <w:szCs w:val="21"/>
                <w:highlight w:val="none"/>
                <w:lang w:val="en-US" w:eastAsia="zh-CN"/>
              </w:rPr>
              <w:t>内容</w:t>
            </w:r>
          </w:p>
        </w:tc>
        <w:tc>
          <w:tcPr>
            <w:tcW w:w="8040" w:type="dxa"/>
            <w:noWrap w:val="0"/>
            <w:vAlign w:val="center"/>
          </w:tcPr>
          <w:p w14:paraId="701AD2C0">
            <w:pPr>
              <w:pStyle w:val="9"/>
              <w:keepNext w:val="0"/>
              <w:keepLines w:val="0"/>
              <w:pageBreakBefore w:val="0"/>
              <w:shd w:val="clear" w:color="auto" w:fill="auto"/>
              <w:kinsoku/>
              <w:wordWrap/>
              <w:overflowPunct/>
              <w:topLinePunct w:val="0"/>
              <w:autoSpaceDE/>
              <w:autoSpaceDN/>
              <w:bidi w:val="0"/>
              <w:adjustRightInd/>
              <w:snapToGrid w:val="0"/>
              <w:spacing w:line="290" w:lineRule="exact"/>
              <w:ind w:firstLine="2150" w:firstLineChars="1000"/>
              <w:jc w:val="both"/>
              <w:textAlignment w:val="auto"/>
              <w:outlineLvl w:val="9"/>
              <w:rPr>
                <w:rFonts w:hint="eastAsia" w:ascii="仿宋" w:hAnsi="仿宋" w:eastAsia="仿宋" w:cs="仿宋"/>
                <w:b/>
                <w:color w:val="auto"/>
                <w:sz w:val="28"/>
                <w:szCs w:val="28"/>
                <w:highlight w:val="none"/>
                <w:lang w:val="en-US" w:eastAsia="zh-CN"/>
              </w:rPr>
            </w:pPr>
            <w:r>
              <w:rPr>
                <w:rFonts w:hint="eastAsia" w:ascii="宋体" w:hAnsi="宋体" w:eastAsia="宋体" w:cs="宋体"/>
                <w:b/>
                <w:color w:val="auto"/>
                <w:sz w:val="21"/>
                <w:szCs w:val="21"/>
                <w:highlight w:val="none"/>
                <w:lang w:val="en-US" w:eastAsia="zh-CN"/>
              </w:rPr>
              <w:t>说明与要求</w:t>
            </w:r>
          </w:p>
        </w:tc>
      </w:tr>
      <w:tr w14:paraId="58B7E29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795" w:type="dxa"/>
            <w:noWrap w:val="0"/>
            <w:vAlign w:val="center"/>
          </w:tcPr>
          <w:p w14:paraId="5B47F636">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1</w:t>
            </w:r>
          </w:p>
        </w:tc>
        <w:tc>
          <w:tcPr>
            <w:tcW w:w="1708" w:type="dxa"/>
            <w:noWrap w:val="0"/>
            <w:vAlign w:val="center"/>
          </w:tcPr>
          <w:p w14:paraId="6D906B41">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p>
          <w:p w14:paraId="03E9FD15">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lang w:val="en-US" w:eastAsia="zh-CN"/>
              </w:rPr>
            </w:pPr>
            <w:r>
              <w:rPr>
                <w:rFonts w:hint="eastAsia" w:ascii="宋体" w:hAnsi="宋体" w:eastAsia="宋体" w:cs="宋体"/>
                <w:color w:val="auto"/>
                <w:sz w:val="21"/>
                <w:szCs w:val="21"/>
                <w:highlight w:val="none"/>
              </w:rPr>
              <w:t>项目编号</w:t>
            </w:r>
          </w:p>
        </w:tc>
        <w:tc>
          <w:tcPr>
            <w:tcW w:w="8040" w:type="dxa"/>
            <w:noWrap w:val="0"/>
            <w:vAlign w:val="center"/>
          </w:tcPr>
          <w:p w14:paraId="49488A41">
            <w:pPr>
              <w:keepNext w:val="0"/>
              <w:keepLines w:val="0"/>
              <w:pageBreakBefore w:val="0"/>
              <w:shd w:val="clear" w:color="auto" w:fill="auto"/>
              <w:kinsoku/>
              <w:wordWrap/>
              <w:overflowPunct/>
              <w:topLinePunct w:val="0"/>
              <w:autoSpaceDE/>
              <w:autoSpaceDN/>
              <w:bidi w:val="0"/>
              <w:adjustRightInd/>
              <w:snapToGrid w:val="0"/>
              <w:spacing w:line="290" w:lineRule="exact"/>
              <w:jc w:val="both"/>
              <w:textAlignment w:val="auto"/>
              <w:outlineLvl w:val="9"/>
              <w:rPr>
                <w:rFonts w:hint="default"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rPr>
              <w:t>项目名称：</w:t>
            </w:r>
            <w:r>
              <w:rPr>
                <w:rFonts w:hint="eastAsia" w:ascii="宋体" w:hAnsi="宋体" w:eastAsia="宋体" w:cs="宋体"/>
                <w:color w:val="auto"/>
                <w:sz w:val="21"/>
                <w:szCs w:val="21"/>
                <w:highlight w:val="none"/>
                <w:lang w:val="en-US" w:eastAsia="zh-CN"/>
              </w:rPr>
              <w:t>克孜勒苏柯尔克孜自治州质量与计量检验检测中心检验检测设备采购项目</w:t>
            </w:r>
            <w:r>
              <w:rPr>
                <w:rFonts w:hint="eastAsia" w:ascii="宋体" w:hAnsi="宋体" w:eastAsia="宋体" w:cs="宋体"/>
                <w:color w:val="auto"/>
                <w:sz w:val="21"/>
                <w:szCs w:val="21"/>
                <w:highlight w:val="none"/>
              </w:rPr>
              <w:t>项目编号</w:t>
            </w:r>
            <w:r>
              <w:rPr>
                <w:rFonts w:hint="eastAsia" w:ascii="宋体" w:hAnsi="宋体" w:eastAsia="宋体" w:cs="宋体"/>
                <w:color w:val="auto"/>
                <w:sz w:val="21"/>
                <w:szCs w:val="21"/>
                <w:highlight w:val="none"/>
                <w:lang w:val="en-US" w:eastAsia="zh-CN"/>
              </w:rPr>
              <w:t>：KZZB-2025056</w:t>
            </w:r>
          </w:p>
        </w:tc>
      </w:tr>
      <w:tr w14:paraId="604508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9" w:hRule="atLeast"/>
        </w:trPr>
        <w:tc>
          <w:tcPr>
            <w:tcW w:w="795" w:type="dxa"/>
            <w:noWrap w:val="0"/>
            <w:vAlign w:val="center"/>
          </w:tcPr>
          <w:p w14:paraId="66028A9E">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2</w:t>
            </w:r>
          </w:p>
        </w:tc>
        <w:tc>
          <w:tcPr>
            <w:tcW w:w="1708" w:type="dxa"/>
            <w:noWrap w:val="0"/>
            <w:vAlign w:val="center"/>
          </w:tcPr>
          <w:p w14:paraId="42B5273D">
            <w:pPr>
              <w:keepNext w:val="0"/>
              <w:keepLines w:val="0"/>
              <w:pageBreakBefore w:val="0"/>
              <w:widowControl/>
              <w:shd w:val="clear" w:color="auto" w:fill="auto"/>
              <w:kinsoku/>
              <w:wordWrap/>
              <w:overflowPunct/>
              <w:topLinePunct w:val="0"/>
              <w:autoSpaceDE/>
              <w:autoSpaceDN/>
              <w:bidi w:val="0"/>
              <w:adjustRightInd/>
              <w:snapToGrid/>
              <w:spacing w:line="290" w:lineRule="exact"/>
              <w:jc w:val="center"/>
              <w:textAlignment w:val="auto"/>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rPr>
              <w:t>采购人</w:t>
            </w:r>
            <w:r>
              <w:rPr>
                <w:rFonts w:hint="eastAsia" w:ascii="宋体" w:hAnsi="宋体" w:eastAsia="宋体" w:cs="宋体"/>
                <w:color w:val="auto"/>
                <w:sz w:val="21"/>
                <w:szCs w:val="21"/>
                <w:highlight w:val="none"/>
                <w:lang w:val="en-US" w:eastAsia="zh-CN"/>
              </w:rPr>
              <w:t>信息</w:t>
            </w:r>
          </w:p>
        </w:tc>
        <w:tc>
          <w:tcPr>
            <w:tcW w:w="8040" w:type="dxa"/>
            <w:noWrap w:val="0"/>
            <w:vAlign w:val="center"/>
          </w:tcPr>
          <w:p w14:paraId="69359B4D">
            <w:pPr>
              <w:keepNext w:val="0"/>
              <w:keepLines w:val="0"/>
              <w:pageBreakBefore w:val="0"/>
              <w:shd w:val="clear" w:color="auto" w:fill="auto"/>
              <w:kinsoku/>
              <w:wordWrap/>
              <w:overflowPunct/>
              <w:topLinePunct w:val="0"/>
              <w:autoSpaceDE/>
              <w:autoSpaceDN/>
              <w:bidi w:val="0"/>
              <w:adjustRightInd/>
              <w:snapToGrid w:val="0"/>
              <w:spacing w:line="290" w:lineRule="exact"/>
              <w:jc w:val="both"/>
              <w:textAlignment w:val="auto"/>
              <w:outlineLvl w:val="9"/>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单位</w:t>
            </w:r>
            <w:r>
              <w:rPr>
                <w:rFonts w:hint="eastAsia" w:ascii="宋体" w:hAnsi="宋体" w:eastAsia="宋体" w:cs="宋体"/>
                <w:color w:val="auto"/>
                <w:sz w:val="21"/>
                <w:szCs w:val="21"/>
                <w:highlight w:val="none"/>
                <w:lang w:val="en-US" w:eastAsia="zh-CN"/>
              </w:rPr>
              <w:t>名称</w:t>
            </w:r>
            <w:r>
              <w:rPr>
                <w:rFonts w:hint="eastAsia" w:ascii="宋体" w:hAnsi="宋体" w:eastAsia="宋体" w:cs="宋体"/>
                <w:color w:val="auto"/>
                <w:sz w:val="21"/>
                <w:szCs w:val="21"/>
                <w:highlight w:val="none"/>
                <w:lang w:eastAsia="zh-CN"/>
              </w:rPr>
              <w:t>：克孜勒苏柯尔克孜自治州质量与计量检验检测中心</w:t>
            </w:r>
          </w:p>
          <w:p w14:paraId="00514928">
            <w:pPr>
              <w:keepNext w:val="0"/>
              <w:keepLines w:val="0"/>
              <w:pageBreakBefore w:val="0"/>
              <w:shd w:val="clear" w:color="auto" w:fill="auto"/>
              <w:kinsoku/>
              <w:wordWrap/>
              <w:overflowPunct/>
              <w:topLinePunct w:val="0"/>
              <w:autoSpaceDE/>
              <w:autoSpaceDN/>
              <w:bidi w:val="0"/>
              <w:adjustRightInd/>
              <w:snapToGrid w:val="0"/>
              <w:spacing w:line="290" w:lineRule="exact"/>
              <w:jc w:val="both"/>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lang w:eastAsia="zh-CN"/>
              </w:rPr>
              <w:t>联 系 人：</w:t>
            </w:r>
            <w:r>
              <w:rPr>
                <w:rFonts w:hint="eastAsia" w:ascii="宋体" w:hAnsi="宋体" w:eastAsia="宋体" w:cs="宋体"/>
                <w:color w:val="auto"/>
                <w:sz w:val="21"/>
                <w:szCs w:val="21"/>
                <w:highlight w:val="none"/>
                <w:lang w:val="en-US" w:eastAsia="zh-CN"/>
              </w:rPr>
              <w:t xml:space="preserve">何先生 </w:t>
            </w:r>
            <w:r>
              <w:rPr>
                <w:rFonts w:hint="eastAsia" w:ascii="宋体" w:hAnsi="宋体" w:eastAsia="宋体" w:cs="宋体"/>
                <w:color w:val="auto"/>
                <w:sz w:val="21"/>
                <w:szCs w:val="21"/>
                <w:highlight w:val="none"/>
                <w:lang w:eastAsia="zh-CN"/>
              </w:rPr>
              <w:t xml:space="preserve">  联系电话：</w:t>
            </w:r>
            <w:r>
              <w:rPr>
                <w:rFonts w:hint="eastAsia" w:ascii="宋体" w:hAnsi="宋体" w:eastAsia="宋体" w:cs="宋体"/>
                <w:color w:val="auto"/>
                <w:sz w:val="21"/>
                <w:szCs w:val="21"/>
                <w:highlight w:val="none"/>
                <w:lang w:val="en-US" w:eastAsia="zh-CN"/>
              </w:rPr>
              <w:t xml:space="preserve">15209088821 </w:t>
            </w:r>
          </w:p>
        </w:tc>
      </w:tr>
      <w:tr w14:paraId="61AB801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4" w:hRule="atLeast"/>
        </w:trPr>
        <w:tc>
          <w:tcPr>
            <w:tcW w:w="795" w:type="dxa"/>
            <w:noWrap w:val="0"/>
            <w:vAlign w:val="center"/>
          </w:tcPr>
          <w:p w14:paraId="634783BF">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3</w:t>
            </w:r>
          </w:p>
        </w:tc>
        <w:tc>
          <w:tcPr>
            <w:tcW w:w="1708" w:type="dxa"/>
            <w:noWrap w:val="0"/>
            <w:vAlign w:val="center"/>
          </w:tcPr>
          <w:p w14:paraId="5D7C7094">
            <w:pPr>
              <w:keepNext w:val="0"/>
              <w:keepLines w:val="0"/>
              <w:pageBreakBefore w:val="0"/>
              <w:widowControl/>
              <w:shd w:val="clear" w:color="auto" w:fill="auto"/>
              <w:kinsoku/>
              <w:wordWrap/>
              <w:overflowPunct/>
              <w:topLinePunct w:val="0"/>
              <w:autoSpaceDE/>
              <w:autoSpaceDN/>
              <w:bidi w:val="0"/>
              <w:adjustRightInd/>
              <w:snapToGrid/>
              <w:spacing w:line="290" w:lineRule="exact"/>
              <w:jc w:val="center"/>
              <w:textAlignment w:val="auto"/>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rPr>
              <w:t>采购代理机构</w:t>
            </w:r>
          </w:p>
        </w:tc>
        <w:tc>
          <w:tcPr>
            <w:tcW w:w="8040" w:type="dxa"/>
            <w:noWrap w:val="0"/>
            <w:vAlign w:val="center"/>
          </w:tcPr>
          <w:p w14:paraId="6A391620">
            <w:pPr>
              <w:keepNext w:val="0"/>
              <w:keepLines w:val="0"/>
              <w:pageBreakBefore w:val="0"/>
              <w:shd w:val="clear" w:color="auto" w:fill="auto"/>
              <w:kinsoku/>
              <w:wordWrap/>
              <w:overflowPunct/>
              <w:topLinePunct w:val="0"/>
              <w:autoSpaceDE/>
              <w:autoSpaceDN/>
              <w:bidi w:val="0"/>
              <w:adjustRightInd/>
              <w:snapToGrid w:val="0"/>
              <w:spacing w:line="290" w:lineRule="exact"/>
              <w:jc w:val="both"/>
              <w:textAlignment w:val="auto"/>
              <w:outlineLvl w:val="9"/>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单位名称：新疆能实建设工程项目管理咨询有限责任公司</w:t>
            </w:r>
          </w:p>
          <w:p w14:paraId="2F97457C">
            <w:pPr>
              <w:keepNext w:val="0"/>
              <w:keepLines w:val="0"/>
              <w:pageBreakBefore w:val="0"/>
              <w:shd w:val="clear" w:color="auto" w:fill="auto"/>
              <w:kinsoku/>
              <w:wordWrap/>
              <w:overflowPunct/>
              <w:topLinePunct w:val="0"/>
              <w:autoSpaceDE/>
              <w:autoSpaceDN/>
              <w:bidi w:val="0"/>
              <w:adjustRightInd/>
              <w:snapToGrid w:val="0"/>
              <w:spacing w:line="290" w:lineRule="exact"/>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r>
              <w:rPr>
                <w:rFonts w:hint="eastAsia" w:ascii="宋体" w:hAnsi="宋体" w:eastAsia="宋体" w:cs="宋体"/>
                <w:color w:val="auto"/>
                <w:sz w:val="21"/>
                <w:szCs w:val="21"/>
                <w:highlight w:val="none"/>
                <w:lang w:eastAsia="zh-CN"/>
              </w:rPr>
              <w:t>新疆克州克州阿图什市金汇小区斜对面</w:t>
            </w:r>
            <w:r>
              <w:rPr>
                <w:rFonts w:hint="eastAsia" w:ascii="宋体" w:hAnsi="宋体" w:eastAsia="宋体" w:cs="宋体"/>
                <w:color w:val="auto"/>
                <w:sz w:val="21"/>
                <w:szCs w:val="21"/>
                <w:highlight w:val="none"/>
                <w:lang w:val="en-US" w:eastAsia="zh-CN"/>
              </w:rPr>
              <w:t xml:space="preserve"> </w:t>
            </w:r>
          </w:p>
          <w:p w14:paraId="13CDFF42">
            <w:pPr>
              <w:keepNext w:val="0"/>
              <w:keepLines w:val="0"/>
              <w:pageBreakBefore w:val="0"/>
              <w:shd w:val="clear" w:color="auto" w:fill="auto"/>
              <w:kinsoku/>
              <w:wordWrap/>
              <w:overflowPunct/>
              <w:topLinePunct w:val="0"/>
              <w:autoSpaceDE/>
              <w:autoSpaceDN/>
              <w:bidi w:val="0"/>
              <w:adjustRightInd/>
              <w:snapToGrid w:val="0"/>
              <w:spacing w:line="290" w:lineRule="exact"/>
              <w:jc w:val="both"/>
              <w:textAlignment w:val="auto"/>
              <w:outlineLvl w:val="9"/>
              <w:rPr>
                <w:rFonts w:hint="eastAsia" w:ascii="仿宋" w:hAnsi="仿宋" w:eastAsia="仿宋" w:cs="仿宋"/>
                <w:color w:val="auto"/>
                <w:sz w:val="28"/>
                <w:szCs w:val="28"/>
                <w:highlight w:val="none"/>
                <w:lang w:val="en-US"/>
              </w:rPr>
            </w:pPr>
            <w:r>
              <w:rPr>
                <w:rFonts w:hint="eastAsia" w:ascii="宋体" w:hAnsi="宋体" w:eastAsia="宋体" w:cs="宋体"/>
                <w:color w:val="auto"/>
                <w:sz w:val="21"/>
                <w:szCs w:val="21"/>
                <w:highlight w:val="none"/>
              </w:rPr>
              <w:t>联系人：</w:t>
            </w:r>
            <w:r>
              <w:rPr>
                <w:rFonts w:hint="eastAsia" w:ascii="宋体" w:hAnsi="宋体" w:eastAsia="宋体" w:cs="宋体"/>
                <w:color w:val="auto"/>
                <w:sz w:val="21"/>
                <w:szCs w:val="21"/>
                <w:highlight w:val="none"/>
                <w:lang w:val="en-US" w:eastAsia="zh-CN"/>
              </w:rPr>
              <w:t>罗先生</w:t>
            </w:r>
            <w:r>
              <w:rPr>
                <w:rFonts w:hint="eastAsia" w:ascii="宋体" w:hAnsi="宋体" w:eastAsia="宋体" w:cs="宋体"/>
                <w:color w:val="auto"/>
                <w:sz w:val="21"/>
                <w:szCs w:val="21"/>
                <w:highlight w:val="none"/>
              </w:rPr>
              <w:t xml:space="preserve">  联系电话：</w:t>
            </w:r>
            <w:r>
              <w:rPr>
                <w:rFonts w:hint="eastAsia" w:ascii="宋体" w:hAnsi="宋体" w:eastAsia="宋体" w:cs="宋体"/>
                <w:color w:val="auto"/>
                <w:sz w:val="21"/>
                <w:szCs w:val="21"/>
                <w:highlight w:val="none"/>
                <w:lang w:val="en-US" w:eastAsia="zh-CN"/>
              </w:rPr>
              <w:t>16698959998</w:t>
            </w:r>
          </w:p>
        </w:tc>
      </w:tr>
      <w:tr w14:paraId="0FB476A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795" w:type="dxa"/>
            <w:noWrap w:val="0"/>
            <w:vAlign w:val="center"/>
          </w:tcPr>
          <w:p w14:paraId="43A69ADC">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4</w:t>
            </w:r>
          </w:p>
        </w:tc>
        <w:tc>
          <w:tcPr>
            <w:tcW w:w="1708" w:type="dxa"/>
            <w:noWrap w:val="0"/>
            <w:vAlign w:val="center"/>
          </w:tcPr>
          <w:p w14:paraId="45B8212B">
            <w:pPr>
              <w:keepNext w:val="0"/>
              <w:keepLines w:val="0"/>
              <w:pageBreakBefore w:val="0"/>
              <w:widowControl/>
              <w:shd w:val="clear" w:color="auto" w:fill="auto"/>
              <w:kinsoku/>
              <w:wordWrap/>
              <w:overflowPunct/>
              <w:topLinePunct w:val="0"/>
              <w:autoSpaceDE/>
              <w:autoSpaceDN/>
              <w:bidi w:val="0"/>
              <w:adjustRightInd/>
              <w:snapToGrid/>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最终交货地点</w:t>
            </w:r>
          </w:p>
        </w:tc>
        <w:tc>
          <w:tcPr>
            <w:tcW w:w="8040" w:type="dxa"/>
            <w:noWrap w:val="0"/>
            <w:vAlign w:val="center"/>
          </w:tcPr>
          <w:p w14:paraId="1F8DDB91">
            <w:pPr>
              <w:spacing w:line="360" w:lineRule="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甲方指定地点</w:t>
            </w:r>
          </w:p>
        </w:tc>
      </w:tr>
      <w:tr w14:paraId="21BF502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795" w:type="dxa"/>
            <w:noWrap w:val="0"/>
            <w:vAlign w:val="center"/>
          </w:tcPr>
          <w:p w14:paraId="15DC419B">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5</w:t>
            </w:r>
          </w:p>
        </w:tc>
        <w:tc>
          <w:tcPr>
            <w:tcW w:w="1708" w:type="dxa"/>
            <w:noWrap w:val="0"/>
            <w:vAlign w:val="center"/>
          </w:tcPr>
          <w:p w14:paraId="75D1DF95">
            <w:pPr>
              <w:keepNext w:val="0"/>
              <w:keepLines w:val="0"/>
              <w:pageBreakBefore w:val="0"/>
              <w:widowControl/>
              <w:shd w:val="clear" w:color="auto" w:fill="auto"/>
              <w:kinsoku/>
              <w:wordWrap/>
              <w:overflowPunct/>
              <w:topLinePunct w:val="0"/>
              <w:autoSpaceDE/>
              <w:autoSpaceDN/>
              <w:bidi w:val="0"/>
              <w:adjustRightInd/>
              <w:spacing w:line="290" w:lineRule="exact"/>
              <w:jc w:val="center"/>
              <w:textAlignment w:val="auto"/>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rPr>
              <w:t>付款方式</w:t>
            </w:r>
            <w:r>
              <w:rPr>
                <w:rFonts w:hint="eastAsia" w:ascii="宋体" w:hAnsi="宋体" w:eastAsia="宋体" w:cs="宋体"/>
                <w:color w:val="auto"/>
                <w:sz w:val="21"/>
                <w:szCs w:val="21"/>
                <w:highlight w:val="none"/>
                <w:lang w:val="en-US" w:eastAsia="zh-CN"/>
              </w:rPr>
              <w:t>及供货期</w:t>
            </w:r>
          </w:p>
        </w:tc>
        <w:tc>
          <w:tcPr>
            <w:tcW w:w="8040" w:type="dxa"/>
            <w:noWrap w:val="0"/>
            <w:vAlign w:val="center"/>
          </w:tcPr>
          <w:p w14:paraId="4F332B57">
            <w:pPr>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签订合同后支付合同价款的30%,供货完成安装验收合格后支付剩余合同价款70%。（具体以甲乙双方签订采购合同为准）</w:t>
            </w:r>
          </w:p>
          <w:p w14:paraId="1FAC74AA">
            <w:pPr>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供货期：30天内供货完成并安装调试完成使用。</w:t>
            </w:r>
          </w:p>
        </w:tc>
      </w:tr>
      <w:tr w14:paraId="3F5651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90" w:hRule="atLeast"/>
        </w:trPr>
        <w:tc>
          <w:tcPr>
            <w:tcW w:w="795" w:type="dxa"/>
            <w:noWrap w:val="0"/>
            <w:vAlign w:val="center"/>
          </w:tcPr>
          <w:p w14:paraId="6F8BEADE">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6</w:t>
            </w:r>
          </w:p>
        </w:tc>
        <w:tc>
          <w:tcPr>
            <w:tcW w:w="1708" w:type="dxa"/>
            <w:noWrap w:val="0"/>
            <w:vAlign w:val="center"/>
          </w:tcPr>
          <w:p w14:paraId="4ACD5D4C">
            <w:pPr>
              <w:keepNext w:val="0"/>
              <w:keepLines w:val="0"/>
              <w:pageBreakBefore w:val="0"/>
              <w:widowControl/>
              <w:shd w:val="clear" w:color="auto" w:fill="auto"/>
              <w:kinsoku/>
              <w:wordWrap/>
              <w:overflowPunct/>
              <w:topLinePunct w:val="0"/>
              <w:autoSpaceDE/>
              <w:autoSpaceDN/>
              <w:bidi w:val="0"/>
              <w:adjustRightInd/>
              <w:spacing w:line="290" w:lineRule="exact"/>
              <w:jc w:val="center"/>
              <w:textAlignment w:val="auto"/>
              <w:rPr>
                <w:rFonts w:hint="eastAsia" w:ascii="仿宋" w:hAnsi="仿宋" w:eastAsia="仿宋" w:cs="仿宋"/>
                <w:color w:val="auto"/>
                <w:sz w:val="28"/>
                <w:szCs w:val="28"/>
                <w:highlight w:val="none"/>
                <w:lang w:eastAsia="zh-CN"/>
              </w:rPr>
            </w:pPr>
            <w:r>
              <w:rPr>
                <w:rFonts w:hint="eastAsia" w:ascii="宋体" w:hAnsi="宋体" w:eastAsia="宋体" w:cs="宋体"/>
                <w:color w:val="auto"/>
                <w:sz w:val="21"/>
                <w:szCs w:val="21"/>
                <w:highlight w:val="none"/>
                <w:lang w:eastAsia="zh-CN"/>
              </w:rPr>
              <w:t>采购内容</w:t>
            </w:r>
          </w:p>
        </w:tc>
        <w:tc>
          <w:tcPr>
            <w:tcW w:w="8040" w:type="dxa"/>
            <w:noWrap w:val="0"/>
            <w:vAlign w:val="center"/>
          </w:tcPr>
          <w:p w14:paraId="03731028">
            <w:pPr>
              <w:numPr>
                <w:ilvl w:val="0"/>
                <w:numId w:val="0"/>
              </w:numPr>
              <w:ind w:left="0" w:leftChars="0" w:firstLine="0" w:firstLineChars="0"/>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lang w:eastAsia="zh-CN"/>
              </w:rPr>
              <w:t>相关设备一批。（</w:t>
            </w:r>
            <w:r>
              <w:rPr>
                <w:rFonts w:hint="eastAsia" w:ascii="宋体" w:hAnsi="宋体" w:eastAsia="宋体" w:cs="宋体"/>
                <w:color w:val="auto"/>
                <w:sz w:val="21"/>
                <w:szCs w:val="21"/>
                <w:highlight w:val="none"/>
                <w:lang w:val="en-US" w:eastAsia="zh-CN"/>
              </w:rPr>
              <w:t>具体详见采购需求）</w:t>
            </w:r>
          </w:p>
        </w:tc>
      </w:tr>
      <w:tr w14:paraId="59DB29A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795" w:type="dxa"/>
            <w:noWrap w:val="0"/>
            <w:vAlign w:val="center"/>
          </w:tcPr>
          <w:p w14:paraId="57159133">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7</w:t>
            </w:r>
          </w:p>
        </w:tc>
        <w:tc>
          <w:tcPr>
            <w:tcW w:w="1708" w:type="dxa"/>
            <w:noWrap w:val="0"/>
            <w:vAlign w:val="center"/>
          </w:tcPr>
          <w:p w14:paraId="30D347E6">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rPr>
              <w:t>最高投标限价</w:t>
            </w:r>
          </w:p>
        </w:tc>
        <w:tc>
          <w:tcPr>
            <w:tcW w:w="8040" w:type="dxa"/>
            <w:noWrap w:val="0"/>
            <w:vAlign w:val="center"/>
          </w:tcPr>
          <w:p w14:paraId="7BD0708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投标报价最高限价：69万元</w:t>
            </w:r>
            <w:r>
              <w:rPr>
                <w:rFonts w:hint="eastAsia" w:ascii="宋体" w:hAnsi="宋体" w:eastAsia="宋体" w:cs="宋体"/>
                <w:color w:val="0000FF"/>
                <w:sz w:val="21"/>
                <w:szCs w:val="21"/>
                <w:highlight w:val="none"/>
                <w:lang w:val="en-US" w:eastAsia="zh-CN"/>
              </w:rPr>
              <w:t>，</w:t>
            </w:r>
            <w:r>
              <w:rPr>
                <w:rFonts w:hint="eastAsia" w:ascii="宋体" w:hAnsi="宋体" w:eastAsia="宋体" w:cs="宋体"/>
                <w:color w:val="auto"/>
                <w:sz w:val="21"/>
                <w:szCs w:val="21"/>
                <w:highlight w:val="none"/>
                <w:lang w:val="en-US" w:eastAsia="zh-CN"/>
              </w:rPr>
              <w:t>高于最高限价的，其投标文件按无效投标处理（本次采购总金额不超过最高限价）。</w:t>
            </w:r>
          </w:p>
        </w:tc>
      </w:tr>
      <w:tr w14:paraId="5658E6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3" w:hRule="atLeast"/>
        </w:trPr>
        <w:tc>
          <w:tcPr>
            <w:tcW w:w="795" w:type="dxa"/>
            <w:noWrap w:val="0"/>
            <w:vAlign w:val="center"/>
          </w:tcPr>
          <w:p w14:paraId="7BFC0591">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8</w:t>
            </w:r>
          </w:p>
        </w:tc>
        <w:tc>
          <w:tcPr>
            <w:tcW w:w="1708" w:type="dxa"/>
            <w:noWrap w:val="0"/>
            <w:vAlign w:val="center"/>
          </w:tcPr>
          <w:p w14:paraId="016D32F5">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资金来源</w:t>
            </w:r>
          </w:p>
        </w:tc>
        <w:tc>
          <w:tcPr>
            <w:tcW w:w="8040" w:type="dxa"/>
            <w:noWrap w:val="0"/>
            <w:vAlign w:val="center"/>
          </w:tcPr>
          <w:p w14:paraId="0850D6BC">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财政资金</w:t>
            </w:r>
          </w:p>
        </w:tc>
      </w:tr>
      <w:tr w14:paraId="325DC2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207" w:hRule="atLeast"/>
        </w:trPr>
        <w:tc>
          <w:tcPr>
            <w:tcW w:w="795" w:type="dxa"/>
            <w:noWrap w:val="0"/>
            <w:vAlign w:val="center"/>
          </w:tcPr>
          <w:p w14:paraId="3C9CE8B5">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9</w:t>
            </w:r>
          </w:p>
        </w:tc>
        <w:tc>
          <w:tcPr>
            <w:tcW w:w="1708" w:type="dxa"/>
            <w:noWrap w:val="0"/>
            <w:vAlign w:val="center"/>
          </w:tcPr>
          <w:p w14:paraId="313B7313">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招标方式</w:t>
            </w:r>
          </w:p>
        </w:tc>
        <w:tc>
          <w:tcPr>
            <w:tcW w:w="8040" w:type="dxa"/>
            <w:noWrap w:val="0"/>
            <w:vAlign w:val="center"/>
          </w:tcPr>
          <w:p w14:paraId="6C4DE55A">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lang w:val="en-US" w:eastAsia="zh-CN"/>
              </w:rPr>
              <w:t>竞争性</w:t>
            </w:r>
            <w:r>
              <w:rPr>
                <w:rFonts w:hint="eastAsia" w:hAnsi="宋体" w:eastAsia="宋体" w:cs="宋体"/>
                <w:color w:val="auto"/>
                <w:sz w:val="21"/>
                <w:szCs w:val="21"/>
                <w:highlight w:val="none"/>
                <w:lang w:val="en-US" w:eastAsia="zh-CN"/>
              </w:rPr>
              <w:t>谈判</w:t>
            </w:r>
            <w:r>
              <w:rPr>
                <w:rFonts w:hint="eastAsia" w:ascii="宋体" w:hAnsi="宋体" w:eastAsia="宋体" w:cs="宋体"/>
                <w:color w:val="auto"/>
                <w:sz w:val="21"/>
                <w:szCs w:val="21"/>
                <w:highlight w:val="none"/>
                <w:lang w:val="en-US" w:eastAsia="zh-CN"/>
              </w:rPr>
              <w:t>招标</w:t>
            </w:r>
            <w:r>
              <w:rPr>
                <w:rFonts w:hint="eastAsia" w:ascii="宋体" w:hAnsi="宋体" w:eastAsia="宋体" w:cs="宋体"/>
                <w:b/>
                <w:color w:val="auto"/>
                <w:sz w:val="21"/>
                <w:szCs w:val="21"/>
                <w:highlight w:val="none"/>
                <w:lang w:val="en-US" w:eastAsia="zh-CN"/>
              </w:rPr>
              <w:t>(本项目采用网上电子招投标)</w:t>
            </w:r>
            <w:bookmarkStart w:id="87" w:name="_GoBack"/>
            <w:bookmarkEnd w:id="87"/>
          </w:p>
        </w:tc>
      </w:tr>
      <w:tr w14:paraId="261CB9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9" w:hRule="atLeast"/>
        </w:trPr>
        <w:tc>
          <w:tcPr>
            <w:tcW w:w="795" w:type="dxa"/>
            <w:noWrap w:val="0"/>
            <w:vAlign w:val="center"/>
          </w:tcPr>
          <w:p w14:paraId="359CC9CC">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10</w:t>
            </w:r>
          </w:p>
        </w:tc>
        <w:tc>
          <w:tcPr>
            <w:tcW w:w="1708" w:type="dxa"/>
            <w:noWrap w:val="0"/>
            <w:vAlign w:val="center"/>
          </w:tcPr>
          <w:p w14:paraId="5B929CCB">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投标人资格条件及其他要求</w:t>
            </w:r>
          </w:p>
        </w:tc>
        <w:tc>
          <w:tcPr>
            <w:tcW w:w="8040" w:type="dxa"/>
            <w:noWrap w:val="0"/>
            <w:vAlign w:val="center"/>
          </w:tcPr>
          <w:p w14:paraId="7F66E033">
            <w:pPr>
              <w:snapToGrid w:val="0"/>
              <w:spacing w:line="29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1.满足《中华人民共和国政府采购法》第二十二条规定；</w:t>
            </w:r>
          </w:p>
          <w:p w14:paraId="1C32C80E">
            <w:pPr>
              <w:snapToGrid w:val="0"/>
              <w:spacing w:line="29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2.落实政府采购政策需满足的资格要求：标项1：供应商为中小企业；</w:t>
            </w:r>
          </w:p>
          <w:p w14:paraId="476D5B1E">
            <w:pPr>
              <w:snapToGrid w:val="0"/>
              <w:spacing w:line="29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3.本项目的特定资格要求：</w:t>
            </w:r>
          </w:p>
          <w:p w14:paraId="56A08FE9">
            <w:pPr>
              <w:snapToGrid w:val="0"/>
              <w:spacing w:line="29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【标项1】</w:t>
            </w:r>
          </w:p>
          <w:p w14:paraId="3B1B62FE">
            <w:pPr>
              <w:numPr>
                <w:ilvl w:val="0"/>
                <w:numId w:val="0"/>
              </w:numPr>
              <w:snapToGrid w:val="0"/>
              <w:spacing w:line="290" w:lineRule="exact"/>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lang w:val="en-US" w:eastAsia="zh-CN" w:bidi="ar-SA"/>
              </w:rPr>
              <w:t>（1）</w:t>
            </w:r>
            <w:r>
              <w:rPr>
                <w:rFonts w:hint="eastAsia" w:ascii="宋体" w:hAnsi="宋体" w:eastAsia="宋体" w:cs="宋体"/>
                <w:color w:val="auto"/>
                <w:sz w:val="21"/>
                <w:szCs w:val="21"/>
                <w:highlight w:val="none"/>
              </w:rPr>
              <w:t>具备三证合一营业执照副本</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（2）法定代表人投标需提供法定代表人资格证明书，委托代理人投标需提供法定代表人授权委托书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（3）投标企业须提供投标人（被授权在职人员）近</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个月</w:t>
            </w:r>
            <w:r>
              <w:rPr>
                <w:rFonts w:hint="eastAsia" w:ascii="宋体" w:hAnsi="宋体" w:eastAsia="宋体" w:cs="宋体"/>
                <w:color w:val="auto"/>
                <w:sz w:val="21"/>
                <w:szCs w:val="21"/>
                <w:highlight w:val="none"/>
                <w:lang w:val="en-US" w:eastAsia="zh-CN"/>
              </w:rPr>
              <w:t>任意1个月</w:t>
            </w:r>
            <w:r>
              <w:rPr>
                <w:rFonts w:hint="eastAsia" w:ascii="宋体" w:hAnsi="宋体" w:eastAsia="宋体" w:cs="宋体"/>
                <w:color w:val="auto"/>
                <w:sz w:val="21"/>
                <w:szCs w:val="21"/>
                <w:highlight w:val="none"/>
              </w:rPr>
              <w:t>有效的社保证明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4）未被“信用中国”（www.creditchina.gov.cn）、中国政府采购网（www.ccgp.gov.cn）列入失信被执行人、重大税收违法案件当事人名单、政府采购严重违法失信行为记录名单（提供查询结果网页截图并加盖供应商公章）</w:t>
            </w:r>
            <w:r>
              <w:rPr>
                <w:rFonts w:hint="eastAsia" w:ascii="宋体" w:hAnsi="宋体" w:eastAsia="宋体" w:cs="宋体"/>
                <w:color w:val="auto"/>
                <w:sz w:val="21"/>
                <w:szCs w:val="21"/>
                <w:highlight w:val="none"/>
                <w:lang w:eastAsia="zh-CN"/>
              </w:rPr>
              <w:t>；</w:t>
            </w:r>
          </w:p>
          <w:p w14:paraId="72332ABD">
            <w:pPr>
              <w:numPr>
                <w:ilvl w:val="0"/>
                <w:numId w:val="0"/>
              </w:numPr>
              <w:snapToGrid w:val="0"/>
              <w:spacing w:line="29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）供应商须提供中小企业声明函</w:t>
            </w:r>
          </w:p>
          <w:p w14:paraId="0C2810FC">
            <w:pPr>
              <w:numPr>
                <w:ilvl w:val="0"/>
                <w:numId w:val="0"/>
              </w:numPr>
              <w:snapToGrid w:val="0"/>
              <w:spacing w:line="29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）提供保证金收据或</w:t>
            </w:r>
            <w:r>
              <w:rPr>
                <w:rFonts w:hint="eastAsia" w:ascii="宋体" w:hAnsi="宋体" w:eastAsia="宋体" w:cs="宋体"/>
                <w:color w:val="auto"/>
                <w:sz w:val="21"/>
                <w:szCs w:val="21"/>
                <w:highlight w:val="none"/>
                <w:lang w:val="en-US" w:eastAsia="zh-CN"/>
              </w:rPr>
              <w:t>投标担保函</w:t>
            </w:r>
            <w:r>
              <w:rPr>
                <w:rFonts w:hint="eastAsia" w:ascii="宋体" w:hAnsi="宋体" w:eastAsia="宋体" w:cs="宋体"/>
                <w:color w:val="auto"/>
                <w:sz w:val="21"/>
                <w:szCs w:val="21"/>
                <w:highlight w:val="none"/>
                <w:lang w:eastAsia="zh-CN"/>
              </w:rPr>
              <w:t>；</w:t>
            </w:r>
          </w:p>
          <w:p w14:paraId="782FA7DB">
            <w:pPr>
              <w:numPr>
                <w:ilvl w:val="0"/>
                <w:numId w:val="0"/>
              </w:numPr>
              <w:snapToGrid w:val="0"/>
              <w:spacing w:line="290" w:lineRule="exact"/>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本项目不接受联合体投标；</w:t>
            </w:r>
          </w:p>
        </w:tc>
      </w:tr>
      <w:tr w14:paraId="4924779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9" w:hRule="atLeast"/>
        </w:trPr>
        <w:tc>
          <w:tcPr>
            <w:tcW w:w="795" w:type="dxa"/>
            <w:noWrap w:val="0"/>
            <w:vAlign w:val="center"/>
          </w:tcPr>
          <w:p w14:paraId="0A842678">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11</w:t>
            </w:r>
          </w:p>
        </w:tc>
        <w:tc>
          <w:tcPr>
            <w:tcW w:w="1708" w:type="dxa"/>
            <w:noWrap w:val="0"/>
            <w:vAlign w:val="center"/>
          </w:tcPr>
          <w:p w14:paraId="44376EF6">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供应商信用查询</w:t>
            </w:r>
          </w:p>
        </w:tc>
        <w:tc>
          <w:tcPr>
            <w:tcW w:w="8040" w:type="dxa"/>
            <w:noWrap w:val="0"/>
            <w:vAlign w:val="center"/>
          </w:tcPr>
          <w:p w14:paraId="4D267671">
            <w:pPr>
              <w:pStyle w:val="9"/>
              <w:keepNext w:val="0"/>
              <w:keepLines w:val="0"/>
              <w:pageBreakBefore w:val="0"/>
              <w:shd w:val="clear" w:color="auto" w:fill="auto"/>
              <w:kinsoku/>
              <w:wordWrap/>
              <w:overflowPunct/>
              <w:topLinePunct w:val="0"/>
              <w:autoSpaceDE/>
              <w:autoSpaceDN/>
              <w:bidi w:val="0"/>
              <w:adjustRightInd/>
              <w:snapToGrid w:val="0"/>
              <w:spacing w:line="290" w:lineRule="exact"/>
              <w:jc w:val="left"/>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1、查询渠道：信用中国（网址：http://www.creditchina.gov.cn）、中国政府采购网(网址：http://www.ccgp.gov.cn）。</w:t>
            </w:r>
          </w:p>
          <w:p w14:paraId="271B36B3">
            <w:pPr>
              <w:pStyle w:val="9"/>
              <w:keepNext w:val="0"/>
              <w:keepLines w:val="0"/>
              <w:pageBreakBefore w:val="0"/>
              <w:shd w:val="clear" w:color="auto" w:fill="auto"/>
              <w:kinsoku/>
              <w:wordWrap/>
              <w:overflowPunct/>
              <w:topLinePunct w:val="0"/>
              <w:autoSpaceDE/>
              <w:autoSpaceDN/>
              <w:bidi w:val="0"/>
              <w:adjustRightInd/>
              <w:snapToGrid w:val="0"/>
              <w:spacing w:line="290" w:lineRule="exact"/>
              <w:jc w:val="left"/>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2、截止时点：开标后评标前。</w:t>
            </w:r>
          </w:p>
          <w:p w14:paraId="061F4C94">
            <w:pPr>
              <w:pStyle w:val="9"/>
              <w:keepNext w:val="0"/>
              <w:keepLines w:val="0"/>
              <w:pageBreakBefore w:val="0"/>
              <w:shd w:val="clear" w:color="auto" w:fill="auto"/>
              <w:kinsoku/>
              <w:wordWrap/>
              <w:overflowPunct/>
              <w:topLinePunct w:val="0"/>
              <w:autoSpaceDE/>
              <w:autoSpaceDN/>
              <w:bidi w:val="0"/>
              <w:adjustRightInd/>
              <w:snapToGrid w:val="0"/>
              <w:spacing w:line="290" w:lineRule="exact"/>
              <w:jc w:val="left"/>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3、信用信息查询记录和证据留存的具体方式：由采购组织机构在规定查询时间内打印信用信息查询记录并归入项目档案。</w:t>
            </w:r>
          </w:p>
          <w:p w14:paraId="5FB6C7A5">
            <w:pPr>
              <w:pStyle w:val="9"/>
              <w:keepNext w:val="0"/>
              <w:keepLines w:val="0"/>
              <w:pageBreakBefore w:val="0"/>
              <w:shd w:val="clear" w:color="auto" w:fill="auto"/>
              <w:kinsoku/>
              <w:wordWrap/>
              <w:overflowPunct/>
              <w:topLinePunct w:val="0"/>
              <w:autoSpaceDE/>
              <w:autoSpaceDN/>
              <w:bidi w:val="0"/>
              <w:adjustRightInd/>
              <w:snapToGrid w:val="0"/>
              <w:spacing w:line="290" w:lineRule="exact"/>
              <w:jc w:val="left"/>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4、使用规则：对列入失信被执行人、重大税收违法案件当事人名单、政府采购严重违法失信行为记录名单及其他不符合《中华人民共和国政府采购法》第二十二条规定条件的供应商，将被拒绝其参与政府采购活动。联合体成员任意一方存在不良信用记录的，视同联合体存在不良信用记录。</w:t>
            </w:r>
          </w:p>
        </w:tc>
      </w:tr>
      <w:tr w14:paraId="71EBB8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trPr>
        <w:tc>
          <w:tcPr>
            <w:tcW w:w="795" w:type="dxa"/>
            <w:noWrap w:val="0"/>
            <w:vAlign w:val="center"/>
          </w:tcPr>
          <w:p w14:paraId="095FBEA1">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12</w:t>
            </w:r>
          </w:p>
        </w:tc>
        <w:tc>
          <w:tcPr>
            <w:tcW w:w="1708" w:type="dxa"/>
            <w:noWrap w:val="0"/>
            <w:vAlign w:val="center"/>
          </w:tcPr>
          <w:p w14:paraId="25D22DBF">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踏勘现场</w:t>
            </w:r>
          </w:p>
        </w:tc>
        <w:tc>
          <w:tcPr>
            <w:tcW w:w="8040" w:type="dxa"/>
            <w:noWrap w:val="0"/>
            <w:vAlign w:val="center"/>
          </w:tcPr>
          <w:p w14:paraId="3F5EDC57">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不组织,投标人自行合理安排时间踏勘现场。</w:t>
            </w:r>
          </w:p>
        </w:tc>
      </w:tr>
      <w:tr w14:paraId="2D3B8C0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trPr>
        <w:tc>
          <w:tcPr>
            <w:tcW w:w="795" w:type="dxa"/>
            <w:noWrap w:val="0"/>
            <w:vAlign w:val="center"/>
          </w:tcPr>
          <w:p w14:paraId="6E88B26A">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13</w:t>
            </w:r>
          </w:p>
        </w:tc>
        <w:tc>
          <w:tcPr>
            <w:tcW w:w="1708" w:type="dxa"/>
            <w:noWrap w:val="0"/>
            <w:vAlign w:val="center"/>
          </w:tcPr>
          <w:p w14:paraId="1920F9E1">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投标预备会</w:t>
            </w:r>
          </w:p>
        </w:tc>
        <w:tc>
          <w:tcPr>
            <w:tcW w:w="8040" w:type="dxa"/>
            <w:noWrap w:val="0"/>
            <w:vAlign w:val="center"/>
          </w:tcPr>
          <w:p w14:paraId="6C993FC2">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不召开</w:t>
            </w:r>
          </w:p>
        </w:tc>
      </w:tr>
      <w:tr w14:paraId="53A43D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trPr>
        <w:tc>
          <w:tcPr>
            <w:tcW w:w="795" w:type="dxa"/>
            <w:noWrap w:val="0"/>
            <w:vAlign w:val="center"/>
          </w:tcPr>
          <w:p w14:paraId="3605C2FA">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lang w:val="en-US" w:eastAsia="zh-CN"/>
              </w:rPr>
              <w:t>14</w:t>
            </w:r>
          </w:p>
        </w:tc>
        <w:tc>
          <w:tcPr>
            <w:tcW w:w="1708" w:type="dxa"/>
            <w:noWrap w:val="0"/>
            <w:vAlign w:val="center"/>
          </w:tcPr>
          <w:p w14:paraId="55D25348">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联合体投标</w:t>
            </w:r>
          </w:p>
        </w:tc>
        <w:tc>
          <w:tcPr>
            <w:tcW w:w="8040" w:type="dxa"/>
            <w:noWrap w:val="0"/>
            <w:vAlign w:val="center"/>
          </w:tcPr>
          <w:p w14:paraId="5E3AAE0E">
            <w:pPr>
              <w:keepNext w:val="0"/>
              <w:keepLines w:val="0"/>
              <w:pageBreakBefore w:val="0"/>
              <w:shd w:val="clear" w:color="auto" w:fill="auto"/>
              <w:kinsoku/>
              <w:wordWrap/>
              <w:overflowPunct/>
              <w:topLinePunct w:val="0"/>
              <w:autoSpaceDE/>
              <w:autoSpaceDN/>
              <w:bidi w:val="0"/>
              <w:adjustRightInd/>
              <w:spacing w:line="29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不接受</w:t>
            </w:r>
          </w:p>
          <w:p w14:paraId="0D385931">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接受，联合体投标的须在投标文件中提供联合体协议书，联合体所有成员不得超过2家，联合体的任何一方均不得再与其他投标单位联合。</w:t>
            </w:r>
          </w:p>
        </w:tc>
      </w:tr>
      <w:tr w14:paraId="032CE3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7" w:hRule="atLeast"/>
        </w:trPr>
        <w:tc>
          <w:tcPr>
            <w:tcW w:w="795" w:type="dxa"/>
            <w:noWrap w:val="0"/>
            <w:vAlign w:val="center"/>
          </w:tcPr>
          <w:p w14:paraId="7C055A7B">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lang w:val="en-US" w:eastAsia="zh-CN"/>
              </w:rPr>
              <w:t>15</w:t>
            </w:r>
          </w:p>
        </w:tc>
        <w:tc>
          <w:tcPr>
            <w:tcW w:w="1708" w:type="dxa"/>
            <w:noWrap w:val="0"/>
            <w:vAlign w:val="center"/>
          </w:tcPr>
          <w:p w14:paraId="079E99BD">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rPr>
              <w:t>招标代理费</w:t>
            </w:r>
          </w:p>
        </w:tc>
        <w:tc>
          <w:tcPr>
            <w:tcW w:w="8040" w:type="dxa"/>
            <w:noWrap w:val="0"/>
            <w:vAlign w:val="center"/>
          </w:tcPr>
          <w:p w14:paraId="582BC112">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b/>
                <w:bCs/>
                <w:snapToGrid w:val="0"/>
                <w:color w:val="auto"/>
                <w:sz w:val="21"/>
                <w:szCs w:val="21"/>
                <w:highlight w:val="none"/>
              </w:rPr>
            </w:pPr>
            <w:r>
              <w:rPr>
                <w:rFonts w:hint="eastAsia" w:ascii="宋体" w:hAnsi="宋体" w:eastAsia="宋体" w:cs="宋体"/>
                <w:b/>
                <w:bCs/>
                <w:snapToGrid w:val="0"/>
                <w:color w:val="auto"/>
                <w:sz w:val="21"/>
                <w:szCs w:val="21"/>
                <w:highlight w:val="none"/>
              </w:rPr>
              <w:t>收费标准按照招标代理服务费计算方法参考关于印发《新疆维吾尔自治区招标代理服务收费指导意见》的通知（新建招协【2024】4号文）。招标代理服务费用应由招标人支付，招标人、招标代理机构与投标人另有约定的，从其约定。收费标准如下：</w:t>
            </w:r>
          </w:p>
          <w:p w14:paraId="720D9BD2">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招标代理服务收费标准</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2"/>
              <w:gridCol w:w="1546"/>
              <w:gridCol w:w="1907"/>
              <w:gridCol w:w="1292"/>
            </w:tblGrid>
            <w:tr w14:paraId="263E2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2332" w:type="dxa"/>
                  <w:noWrap w:val="0"/>
                  <w:vAlign w:val="top"/>
                </w:tcPr>
                <w:p w14:paraId="6118F8A2">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lang w:eastAsia="zh-CN"/>
                    </w:rPr>
                    <w:t>中标</w:t>
                  </w:r>
                  <w:r>
                    <w:rPr>
                      <w:rFonts w:hint="eastAsia" w:ascii="宋体" w:hAnsi="宋体" w:eastAsia="宋体" w:cs="宋体"/>
                      <w:snapToGrid w:val="0"/>
                      <w:color w:val="auto"/>
                      <w:sz w:val="21"/>
                      <w:szCs w:val="21"/>
                      <w:highlight w:val="none"/>
                    </w:rPr>
                    <w:t>金额（万元）</w:t>
                  </w:r>
                </w:p>
              </w:tc>
              <w:tc>
                <w:tcPr>
                  <w:tcW w:w="1546" w:type="dxa"/>
                  <w:noWrap w:val="0"/>
                  <w:vAlign w:val="top"/>
                </w:tcPr>
                <w:p w14:paraId="05115C8F">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货物招标</w:t>
                  </w:r>
                </w:p>
              </w:tc>
              <w:tc>
                <w:tcPr>
                  <w:tcW w:w="1907" w:type="dxa"/>
                  <w:noWrap w:val="0"/>
                  <w:vAlign w:val="top"/>
                </w:tcPr>
                <w:p w14:paraId="1CD5747C">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lang w:eastAsia="zh-CN"/>
                    </w:rPr>
                    <w:t>服务招标</w:t>
                  </w:r>
                </w:p>
              </w:tc>
              <w:tc>
                <w:tcPr>
                  <w:tcW w:w="1292" w:type="dxa"/>
                  <w:noWrap w:val="0"/>
                  <w:vAlign w:val="top"/>
                </w:tcPr>
                <w:p w14:paraId="3994D790">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备注</w:t>
                  </w:r>
                </w:p>
              </w:tc>
            </w:tr>
            <w:tr w14:paraId="21526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32" w:type="dxa"/>
                  <w:noWrap w:val="0"/>
                  <w:vAlign w:val="center"/>
                </w:tcPr>
                <w:p w14:paraId="75E88FAF">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100以下</w:t>
                  </w:r>
                </w:p>
              </w:tc>
              <w:tc>
                <w:tcPr>
                  <w:tcW w:w="1546" w:type="dxa"/>
                  <w:noWrap w:val="0"/>
                  <w:vAlign w:val="center"/>
                </w:tcPr>
                <w:p w14:paraId="4B0ACA04">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w:t>
                  </w:r>
                  <w:r>
                    <w:rPr>
                      <w:rFonts w:hint="eastAsia" w:ascii="宋体" w:hAnsi="宋体" w:eastAsia="宋体" w:cs="宋体"/>
                      <w:snapToGrid w:val="0"/>
                      <w:color w:val="auto"/>
                      <w:sz w:val="21"/>
                      <w:szCs w:val="21"/>
                      <w:highlight w:val="none"/>
                      <w:lang w:val="en-US" w:eastAsia="zh-CN"/>
                    </w:rPr>
                    <w:t>8</w:t>
                  </w:r>
                  <w:r>
                    <w:rPr>
                      <w:rFonts w:hint="eastAsia" w:ascii="宋体" w:hAnsi="宋体" w:eastAsia="宋体" w:cs="宋体"/>
                      <w:snapToGrid w:val="0"/>
                      <w:color w:val="auto"/>
                      <w:sz w:val="21"/>
                      <w:szCs w:val="21"/>
                      <w:highlight w:val="none"/>
                    </w:rPr>
                    <w:t>%</w:t>
                  </w:r>
                </w:p>
              </w:tc>
              <w:tc>
                <w:tcPr>
                  <w:tcW w:w="1907" w:type="dxa"/>
                  <w:noWrap w:val="0"/>
                  <w:vAlign w:val="center"/>
                </w:tcPr>
                <w:p w14:paraId="0DFAD913">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1.5</w:t>
                  </w:r>
                  <w:r>
                    <w:rPr>
                      <w:rFonts w:hint="eastAsia" w:ascii="宋体" w:hAnsi="宋体" w:eastAsia="宋体" w:cs="宋体"/>
                      <w:snapToGrid w:val="0"/>
                      <w:color w:val="auto"/>
                      <w:sz w:val="21"/>
                      <w:szCs w:val="21"/>
                      <w:highlight w:val="none"/>
                      <w:lang w:val="en-US" w:eastAsia="zh-CN"/>
                    </w:rPr>
                    <w:t>8</w:t>
                  </w:r>
                  <w:r>
                    <w:rPr>
                      <w:rFonts w:hint="eastAsia" w:ascii="宋体" w:hAnsi="宋体" w:eastAsia="宋体" w:cs="宋体"/>
                      <w:snapToGrid w:val="0"/>
                      <w:color w:val="auto"/>
                      <w:sz w:val="21"/>
                      <w:szCs w:val="21"/>
                      <w:highlight w:val="none"/>
                    </w:rPr>
                    <w:t>%</w:t>
                  </w:r>
                </w:p>
              </w:tc>
              <w:tc>
                <w:tcPr>
                  <w:tcW w:w="1292" w:type="dxa"/>
                  <w:noWrap w:val="0"/>
                  <w:vAlign w:val="top"/>
                </w:tcPr>
                <w:p w14:paraId="71BCC7DB">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p>
              </w:tc>
            </w:tr>
            <w:tr w14:paraId="4CF68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332" w:type="dxa"/>
                  <w:noWrap w:val="0"/>
                  <w:vAlign w:val="center"/>
                </w:tcPr>
                <w:p w14:paraId="56E90CCD">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100-500</w:t>
                  </w:r>
                </w:p>
              </w:tc>
              <w:tc>
                <w:tcPr>
                  <w:tcW w:w="1546" w:type="dxa"/>
                  <w:noWrap w:val="0"/>
                  <w:vAlign w:val="center"/>
                </w:tcPr>
                <w:p w14:paraId="6761F88E">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1.1</w:t>
                  </w:r>
                  <w:r>
                    <w:rPr>
                      <w:rFonts w:hint="eastAsia" w:ascii="宋体" w:hAnsi="宋体" w:eastAsia="宋体" w:cs="宋体"/>
                      <w:snapToGrid w:val="0"/>
                      <w:color w:val="auto"/>
                      <w:sz w:val="21"/>
                      <w:szCs w:val="21"/>
                      <w:highlight w:val="none"/>
                      <w:lang w:val="en-US" w:eastAsia="zh-CN"/>
                    </w:rPr>
                    <w:t>6</w:t>
                  </w:r>
                  <w:r>
                    <w:rPr>
                      <w:rFonts w:hint="eastAsia" w:ascii="宋体" w:hAnsi="宋体" w:eastAsia="宋体" w:cs="宋体"/>
                      <w:snapToGrid w:val="0"/>
                      <w:color w:val="auto"/>
                      <w:sz w:val="21"/>
                      <w:szCs w:val="21"/>
                      <w:highlight w:val="none"/>
                    </w:rPr>
                    <w:t>%</w:t>
                  </w:r>
                </w:p>
              </w:tc>
              <w:tc>
                <w:tcPr>
                  <w:tcW w:w="1907" w:type="dxa"/>
                  <w:noWrap w:val="0"/>
                  <w:vAlign w:val="center"/>
                </w:tcPr>
                <w:p w14:paraId="36C00F43">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lang w:val="en-US" w:eastAsia="zh-CN"/>
                    </w:rPr>
                    <w:t>0.84</w:t>
                  </w:r>
                  <w:r>
                    <w:rPr>
                      <w:rFonts w:hint="eastAsia" w:ascii="宋体" w:hAnsi="宋体" w:eastAsia="宋体" w:cs="宋体"/>
                      <w:snapToGrid w:val="0"/>
                      <w:color w:val="auto"/>
                      <w:sz w:val="21"/>
                      <w:szCs w:val="21"/>
                      <w:highlight w:val="none"/>
                    </w:rPr>
                    <w:t>%</w:t>
                  </w:r>
                </w:p>
              </w:tc>
              <w:tc>
                <w:tcPr>
                  <w:tcW w:w="1292" w:type="dxa"/>
                  <w:noWrap w:val="0"/>
                  <w:vAlign w:val="top"/>
                </w:tcPr>
                <w:p w14:paraId="7D738C07">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p>
              </w:tc>
            </w:tr>
            <w:tr w14:paraId="14D54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2332" w:type="dxa"/>
                  <w:noWrap w:val="0"/>
                  <w:vAlign w:val="center"/>
                </w:tcPr>
                <w:p w14:paraId="10EB2EF6">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500-1000</w:t>
                  </w:r>
                </w:p>
              </w:tc>
              <w:tc>
                <w:tcPr>
                  <w:tcW w:w="1546" w:type="dxa"/>
                  <w:noWrap w:val="0"/>
                  <w:vAlign w:val="center"/>
                </w:tcPr>
                <w:p w14:paraId="4B6DF16F">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0.</w:t>
                  </w:r>
                  <w:r>
                    <w:rPr>
                      <w:rFonts w:hint="eastAsia" w:ascii="宋体" w:hAnsi="宋体" w:eastAsia="宋体" w:cs="宋体"/>
                      <w:snapToGrid w:val="0"/>
                      <w:color w:val="auto"/>
                      <w:sz w:val="21"/>
                      <w:szCs w:val="21"/>
                      <w:highlight w:val="none"/>
                      <w:lang w:val="en-US" w:eastAsia="zh-CN"/>
                    </w:rPr>
                    <w:t>93</w:t>
                  </w:r>
                  <w:r>
                    <w:rPr>
                      <w:rFonts w:hint="eastAsia" w:ascii="宋体" w:hAnsi="宋体" w:eastAsia="宋体" w:cs="宋体"/>
                      <w:snapToGrid w:val="0"/>
                      <w:color w:val="auto"/>
                      <w:sz w:val="21"/>
                      <w:szCs w:val="21"/>
                      <w:highlight w:val="none"/>
                    </w:rPr>
                    <w:t>%</w:t>
                  </w:r>
                </w:p>
              </w:tc>
              <w:tc>
                <w:tcPr>
                  <w:tcW w:w="1907" w:type="dxa"/>
                  <w:noWrap w:val="0"/>
                  <w:vAlign w:val="center"/>
                </w:tcPr>
                <w:p w14:paraId="7AB8F589">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0.</w:t>
                  </w:r>
                  <w:r>
                    <w:rPr>
                      <w:rFonts w:hint="eastAsia" w:ascii="宋体" w:hAnsi="宋体" w:eastAsia="宋体" w:cs="宋体"/>
                      <w:snapToGrid w:val="0"/>
                      <w:color w:val="auto"/>
                      <w:sz w:val="21"/>
                      <w:szCs w:val="21"/>
                      <w:highlight w:val="none"/>
                      <w:lang w:val="en-US" w:eastAsia="zh-CN"/>
                    </w:rPr>
                    <w:t>62</w:t>
                  </w:r>
                  <w:r>
                    <w:rPr>
                      <w:rFonts w:hint="eastAsia" w:ascii="宋体" w:hAnsi="宋体" w:eastAsia="宋体" w:cs="宋体"/>
                      <w:snapToGrid w:val="0"/>
                      <w:color w:val="auto"/>
                      <w:sz w:val="21"/>
                      <w:szCs w:val="21"/>
                      <w:highlight w:val="none"/>
                    </w:rPr>
                    <w:t>%</w:t>
                  </w:r>
                </w:p>
              </w:tc>
              <w:tc>
                <w:tcPr>
                  <w:tcW w:w="1292" w:type="dxa"/>
                  <w:noWrap w:val="0"/>
                  <w:vAlign w:val="top"/>
                </w:tcPr>
                <w:p w14:paraId="25601B08">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p>
              </w:tc>
            </w:tr>
            <w:tr w14:paraId="29713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2332" w:type="dxa"/>
                  <w:noWrap w:val="0"/>
                  <w:vAlign w:val="center"/>
                </w:tcPr>
                <w:p w14:paraId="701E185F">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1000-5000</w:t>
                  </w:r>
                </w:p>
              </w:tc>
              <w:tc>
                <w:tcPr>
                  <w:tcW w:w="1546" w:type="dxa"/>
                  <w:noWrap w:val="0"/>
                  <w:vAlign w:val="center"/>
                </w:tcPr>
                <w:p w14:paraId="39813CC0">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0.</w:t>
                  </w:r>
                  <w:r>
                    <w:rPr>
                      <w:rFonts w:hint="eastAsia" w:ascii="宋体" w:hAnsi="宋体" w:eastAsia="宋体" w:cs="宋体"/>
                      <w:snapToGrid w:val="0"/>
                      <w:color w:val="auto"/>
                      <w:sz w:val="21"/>
                      <w:szCs w:val="21"/>
                      <w:highlight w:val="none"/>
                      <w:lang w:val="en-US" w:eastAsia="zh-CN"/>
                    </w:rPr>
                    <w:t>61</w:t>
                  </w:r>
                  <w:r>
                    <w:rPr>
                      <w:rFonts w:hint="eastAsia" w:ascii="宋体" w:hAnsi="宋体" w:eastAsia="宋体" w:cs="宋体"/>
                      <w:snapToGrid w:val="0"/>
                      <w:color w:val="auto"/>
                      <w:sz w:val="21"/>
                      <w:szCs w:val="21"/>
                      <w:highlight w:val="none"/>
                    </w:rPr>
                    <w:t>%</w:t>
                  </w:r>
                </w:p>
              </w:tc>
              <w:tc>
                <w:tcPr>
                  <w:tcW w:w="1907" w:type="dxa"/>
                  <w:noWrap w:val="0"/>
                  <w:vAlign w:val="center"/>
                </w:tcPr>
                <w:p w14:paraId="6FA08618">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0.</w:t>
                  </w:r>
                  <w:r>
                    <w:rPr>
                      <w:rFonts w:hint="eastAsia" w:ascii="宋体" w:hAnsi="宋体" w:eastAsia="宋体" w:cs="宋体"/>
                      <w:snapToGrid w:val="0"/>
                      <w:color w:val="auto"/>
                      <w:sz w:val="21"/>
                      <w:szCs w:val="21"/>
                      <w:highlight w:val="none"/>
                      <w:lang w:val="en-US" w:eastAsia="zh-CN"/>
                    </w:rPr>
                    <w:t>35</w:t>
                  </w:r>
                  <w:r>
                    <w:rPr>
                      <w:rFonts w:hint="eastAsia" w:ascii="宋体" w:hAnsi="宋体" w:eastAsia="宋体" w:cs="宋体"/>
                      <w:snapToGrid w:val="0"/>
                      <w:color w:val="auto"/>
                      <w:sz w:val="21"/>
                      <w:szCs w:val="21"/>
                      <w:highlight w:val="none"/>
                    </w:rPr>
                    <w:t>%</w:t>
                  </w:r>
                </w:p>
              </w:tc>
              <w:tc>
                <w:tcPr>
                  <w:tcW w:w="1292" w:type="dxa"/>
                  <w:noWrap w:val="0"/>
                  <w:vAlign w:val="top"/>
                </w:tcPr>
                <w:p w14:paraId="41BB3955">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p>
              </w:tc>
            </w:tr>
          </w:tbl>
          <w:p w14:paraId="0FB359FE">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招标代理服务收费按差额定率累进法计算。例如：某项目招标代理业务</w:t>
            </w:r>
            <w:r>
              <w:rPr>
                <w:rFonts w:hint="eastAsia" w:ascii="宋体" w:hAnsi="宋体" w:eastAsia="宋体" w:cs="宋体"/>
                <w:snapToGrid w:val="0"/>
                <w:color w:val="auto"/>
                <w:sz w:val="21"/>
                <w:szCs w:val="21"/>
                <w:highlight w:val="none"/>
                <w:lang w:eastAsia="zh-CN"/>
              </w:rPr>
              <w:t>中标</w:t>
            </w:r>
            <w:r>
              <w:rPr>
                <w:rFonts w:hint="eastAsia" w:ascii="宋体" w:hAnsi="宋体" w:eastAsia="宋体" w:cs="宋体"/>
                <w:snapToGrid w:val="0"/>
                <w:color w:val="auto"/>
                <w:sz w:val="21"/>
                <w:szCs w:val="21"/>
                <w:highlight w:val="none"/>
              </w:rPr>
              <w:t>金额为2000万元，计算招标代理服务收费额如下：</w:t>
            </w:r>
          </w:p>
          <w:p w14:paraId="4F63E3CC">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 xml:space="preserve"> 100万元×1.5</w:t>
            </w:r>
            <w:r>
              <w:rPr>
                <w:rFonts w:hint="eastAsia" w:ascii="宋体" w:hAnsi="宋体" w:eastAsia="宋体" w:cs="宋体"/>
                <w:snapToGrid w:val="0"/>
                <w:color w:val="auto"/>
                <w:sz w:val="21"/>
                <w:szCs w:val="21"/>
                <w:highlight w:val="none"/>
                <w:lang w:val="en-US" w:eastAsia="zh-CN"/>
              </w:rPr>
              <w:t>8</w:t>
            </w:r>
            <w:r>
              <w:rPr>
                <w:rFonts w:hint="eastAsia" w:ascii="宋体" w:hAnsi="宋体" w:eastAsia="宋体" w:cs="宋体"/>
                <w:snapToGrid w:val="0"/>
                <w:color w:val="auto"/>
                <w:sz w:val="21"/>
                <w:szCs w:val="21"/>
                <w:highlight w:val="none"/>
              </w:rPr>
              <w:t>%=1.5</w:t>
            </w:r>
            <w:r>
              <w:rPr>
                <w:rFonts w:hint="eastAsia" w:ascii="宋体" w:hAnsi="宋体" w:eastAsia="宋体" w:cs="宋体"/>
                <w:snapToGrid w:val="0"/>
                <w:color w:val="auto"/>
                <w:sz w:val="21"/>
                <w:szCs w:val="21"/>
                <w:highlight w:val="none"/>
                <w:lang w:val="en-US" w:eastAsia="zh-CN"/>
              </w:rPr>
              <w:t>8</w:t>
            </w:r>
            <w:r>
              <w:rPr>
                <w:rFonts w:hint="eastAsia" w:ascii="宋体" w:hAnsi="宋体" w:eastAsia="宋体" w:cs="宋体"/>
                <w:snapToGrid w:val="0"/>
                <w:color w:val="auto"/>
                <w:sz w:val="21"/>
                <w:szCs w:val="21"/>
                <w:highlight w:val="none"/>
              </w:rPr>
              <w:t>（万元）；</w:t>
            </w:r>
          </w:p>
          <w:p w14:paraId="0195D5A3">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（500-100）万元×1.1</w:t>
            </w:r>
            <w:r>
              <w:rPr>
                <w:rFonts w:hint="eastAsia" w:ascii="宋体" w:hAnsi="宋体" w:eastAsia="宋体" w:cs="宋体"/>
                <w:snapToGrid w:val="0"/>
                <w:color w:val="auto"/>
                <w:sz w:val="21"/>
                <w:szCs w:val="21"/>
                <w:highlight w:val="none"/>
                <w:lang w:val="en-US" w:eastAsia="zh-CN"/>
              </w:rPr>
              <w:t>6</w:t>
            </w:r>
            <w:r>
              <w:rPr>
                <w:rFonts w:hint="eastAsia" w:ascii="宋体" w:hAnsi="宋体" w:eastAsia="宋体" w:cs="宋体"/>
                <w:snapToGrid w:val="0"/>
                <w:color w:val="auto"/>
                <w:sz w:val="21"/>
                <w:szCs w:val="21"/>
                <w:highlight w:val="none"/>
              </w:rPr>
              <w:t>%=4.</w:t>
            </w:r>
            <w:r>
              <w:rPr>
                <w:rFonts w:hint="eastAsia" w:ascii="宋体" w:hAnsi="宋体" w:eastAsia="宋体" w:cs="宋体"/>
                <w:snapToGrid w:val="0"/>
                <w:color w:val="auto"/>
                <w:sz w:val="21"/>
                <w:szCs w:val="21"/>
                <w:highlight w:val="none"/>
                <w:lang w:val="en-US" w:eastAsia="zh-CN"/>
              </w:rPr>
              <w:t>64</w:t>
            </w:r>
            <w:r>
              <w:rPr>
                <w:rFonts w:hint="eastAsia" w:ascii="宋体" w:hAnsi="宋体" w:eastAsia="宋体" w:cs="宋体"/>
                <w:snapToGrid w:val="0"/>
                <w:color w:val="auto"/>
                <w:sz w:val="21"/>
                <w:szCs w:val="21"/>
                <w:highlight w:val="none"/>
              </w:rPr>
              <w:t>（万元）</w:t>
            </w:r>
          </w:p>
          <w:p w14:paraId="1DC652B5">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（1000-500）万元×0.</w:t>
            </w:r>
            <w:r>
              <w:rPr>
                <w:rFonts w:hint="eastAsia" w:ascii="宋体" w:hAnsi="宋体" w:eastAsia="宋体" w:cs="宋体"/>
                <w:snapToGrid w:val="0"/>
                <w:color w:val="auto"/>
                <w:sz w:val="21"/>
                <w:szCs w:val="21"/>
                <w:highlight w:val="none"/>
                <w:lang w:val="en-US" w:eastAsia="zh-CN"/>
              </w:rPr>
              <w:t>93</w:t>
            </w:r>
            <w:r>
              <w:rPr>
                <w:rFonts w:hint="eastAsia" w:ascii="宋体" w:hAnsi="宋体" w:eastAsia="宋体" w:cs="宋体"/>
                <w:snapToGrid w:val="0"/>
                <w:color w:val="auto"/>
                <w:sz w:val="21"/>
                <w:szCs w:val="21"/>
                <w:highlight w:val="none"/>
              </w:rPr>
              <w:t>%=4.</w:t>
            </w:r>
            <w:r>
              <w:rPr>
                <w:rFonts w:hint="eastAsia" w:ascii="宋体" w:hAnsi="宋体" w:eastAsia="宋体" w:cs="宋体"/>
                <w:snapToGrid w:val="0"/>
                <w:color w:val="auto"/>
                <w:sz w:val="21"/>
                <w:szCs w:val="21"/>
                <w:highlight w:val="none"/>
                <w:lang w:val="en-US" w:eastAsia="zh-CN"/>
              </w:rPr>
              <w:t>65</w:t>
            </w:r>
            <w:r>
              <w:rPr>
                <w:rFonts w:hint="eastAsia" w:ascii="宋体" w:hAnsi="宋体" w:eastAsia="宋体" w:cs="宋体"/>
                <w:snapToGrid w:val="0"/>
                <w:color w:val="auto"/>
                <w:sz w:val="21"/>
                <w:szCs w:val="21"/>
                <w:highlight w:val="none"/>
              </w:rPr>
              <w:t>（万元）</w:t>
            </w:r>
          </w:p>
          <w:p w14:paraId="09BB308D">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（2000-1000）万元×0.</w:t>
            </w:r>
            <w:r>
              <w:rPr>
                <w:rFonts w:hint="eastAsia" w:ascii="宋体" w:hAnsi="宋体" w:eastAsia="宋体" w:cs="宋体"/>
                <w:snapToGrid w:val="0"/>
                <w:color w:val="auto"/>
                <w:sz w:val="21"/>
                <w:szCs w:val="21"/>
                <w:highlight w:val="none"/>
                <w:lang w:val="en-US" w:eastAsia="zh-CN"/>
              </w:rPr>
              <w:t>61</w:t>
            </w:r>
            <w:r>
              <w:rPr>
                <w:rFonts w:hint="eastAsia" w:ascii="宋体" w:hAnsi="宋体" w:eastAsia="宋体" w:cs="宋体"/>
                <w:snapToGrid w:val="0"/>
                <w:color w:val="auto"/>
                <w:sz w:val="21"/>
                <w:szCs w:val="21"/>
                <w:highlight w:val="none"/>
              </w:rPr>
              <w:t>%=</w:t>
            </w:r>
            <w:r>
              <w:rPr>
                <w:rFonts w:hint="eastAsia" w:ascii="宋体" w:hAnsi="宋体" w:eastAsia="宋体" w:cs="宋体"/>
                <w:snapToGrid w:val="0"/>
                <w:color w:val="auto"/>
                <w:sz w:val="21"/>
                <w:szCs w:val="21"/>
                <w:highlight w:val="none"/>
                <w:lang w:val="en-US" w:eastAsia="zh-CN"/>
              </w:rPr>
              <w:t>6</w:t>
            </w:r>
            <w:r>
              <w:rPr>
                <w:rFonts w:hint="eastAsia" w:ascii="宋体" w:hAnsi="宋体" w:eastAsia="宋体" w:cs="宋体"/>
                <w:snapToGrid w:val="0"/>
                <w:color w:val="auto"/>
                <w:sz w:val="21"/>
                <w:szCs w:val="21"/>
                <w:highlight w:val="none"/>
              </w:rPr>
              <w:t>.</w:t>
            </w:r>
            <w:r>
              <w:rPr>
                <w:rFonts w:hint="eastAsia" w:ascii="宋体" w:hAnsi="宋体" w:eastAsia="宋体" w:cs="宋体"/>
                <w:snapToGrid w:val="0"/>
                <w:color w:val="auto"/>
                <w:sz w:val="21"/>
                <w:szCs w:val="21"/>
                <w:highlight w:val="none"/>
                <w:lang w:val="en-US" w:eastAsia="zh-CN"/>
              </w:rPr>
              <w:t>1</w:t>
            </w:r>
            <w:r>
              <w:rPr>
                <w:rFonts w:hint="eastAsia" w:ascii="宋体" w:hAnsi="宋体" w:eastAsia="宋体" w:cs="宋体"/>
                <w:snapToGrid w:val="0"/>
                <w:color w:val="auto"/>
                <w:sz w:val="21"/>
                <w:szCs w:val="21"/>
                <w:highlight w:val="none"/>
              </w:rPr>
              <w:t>（万元）</w:t>
            </w:r>
          </w:p>
          <w:p w14:paraId="0450A431">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仿宋" w:hAnsi="仿宋" w:eastAsia="仿宋" w:cs="仿宋"/>
                <w:color w:val="auto"/>
                <w:sz w:val="28"/>
                <w:szCs w:val="28"/>
                <w:highlight w:val="none"/>
              </w:rPr>
            </w:pPr>
            <w:r>
              <w:rPr>
                <w:rFonts w:hint="eastAsia" w:ascii="宋体" w:hAnsi="宋体" w:eastAsia="宋体" w:cs="宋体"/>
                <w:snapToGrid w:val="0"/>
                <w:color w:val="auto"/>
                <w:sz w:val="21"/>
                <w:szCs w:val="21"/>
                <w:highlight w:val="none"/>
              </w:rPr>
              <w:t>合计收费=1.5</w:t>
            </w:r>
            <w:r>
              <w:rPr>
                <w:rFonts w:hint="eastAsia" w:ascii="宋体" w:hAnsi="宋体" w:eastAsia="宋体" w:cs="宋体"/>
                <w:snapToGrid w:val="0"/>
                <w:color w:val="auto"/>
                <w:sz w:val="21"/>
                <w:szCs w:val="21"/>
                <w:highlight w:val="none"/>
                <w:lang w:val="en-US" w:eastAsia="zh-CN"/>
              </w:rPr>
              <w:t>8</w:t>
            </w:r>
            <w:r>
              <w:rPr>
                <w:rFonts w:hint="eastAsia" w:ascii="宋体" w:hAnsi="宋体" w:eastAsia="宋体" w:cs="宋体"/>
                <w:snapToGrid w:val="0"/>
                <w:color w:val="auto"/>
                <w:sz w:val="21"/>
                <w:szCs w:val="21"/>
                <w:highlight w:val="none"/>
              </w:rPr>
              <w:t>+4.</w:t>
            </w:r>
            <w:r>
              <w:rPr>
                <w:rFonts w:hint="eastAsia" w:ascii="宋体" w:hAnsi="宋体" w:eastAsia="宋体" w:cs="宋体"/>
                <w:snapToGrid w:val="0"/>
                <w:color w:val="auto"/>
                <w:sz w:val="21"/>
                <w:szCs w:val="21"/>
                <w:highlight w:val="none"/>
                <w:lang w:val="en-US" w:eastAsia="zh-CN"/>
              </w:rPr>
              <w:t>6</w:t>
            </w:r>
            <w:r>
              <w:rPr>
                <w:rFonts w:hint="eastAsia" w:ascii="宋体" w:hAnsi="宋体" w:eastAsia="宋体" w:cs="宋体"/>
                <w:snapToGrid w:val="0"/>
                <w:color w:val="auto"/>
                <w:sz w:val="21"/>
                <w:szCs w:val="21"/>
                <w:highlight w:val="none"/>
              </w:rPr>
              <w:t>4+4.</w:t>
            </w:r>
            <w:r>
              <w:rPr>
                <w:rFonts w:hint="eastAsia" w:ascii="宋体" w:hAnsi="宋体" w:eastAsia="宋体" w:cs="宋体"/>
                <w:snapToGrid w:val="0"/>
                <w:color w:val="auto"/>
                <w:sz w:val="21"/>
                <w:szCs w:val="21"/>
                <w:highlight w:val="none"/>
                <w:lang w:val="en-US" w:eastAsia="zh-CN"/>
              </w:rPr>
              <w:t>65</w:t>
            </w:r>
            <w:r>
              <w:rPr>
                <w:rFonts w:hint="eastAsia" w:ascii="宋体" w:hAnsi="宋体" w:eastAsia="宋体" w:cs="宋体"/>
                <w:snapToGrid w:val="0"/>
                <w:color w:val="auto"/>
                <w:sz w:val="21"/>
                <w:szCs w:val="21"/>
                <w:highlight w:val="none"/>
              </w:rPr>
              <w:t>+</w:t>
            </w:r>
            <w:r>
              <w:rPr>
                <w:rFonts w:hint="eastAsia" w:ascii="宋体" w:hAnsi="宋体" w:eastAsia="宋体" w:cs="宋体"/>
                <w:snapToGrid w:val="0"/>
                <w:color w:val="auto"/>
                <w:sz w:val="21"/>
                <w:szCs w:val="21"/>
                <w:highlight w:val="none"/>
                <w:lang w:val="en-US" w:eastAsia="zh-CN"/>
              </w:rPr>
              <w:t>6</w:t>
            </w:r>
            <w:r>
              <w:rPr>
                <w:rFonts w:hint="eastAsia" w:ascii="宋体" w:hAnsi="宋体" w:eastAsia="宋体" w:cs="宋体"/>
                <w:snapToGrid w:val="0"/>
                <w:color w:val="auto"/>
                <w:sz w:val="21"/>
                <w:szCs w:val="21"/>
                <w:highlight w:val="none"/>
              </w:rPr>
              <w:t>.</w:t>
            </w:r>
            <w:r>
              <w:rPr>
                <w:rFonts w:hint="eastAsia" w:ascii="宋体" w:hAnsi="宋体" w:eastAsia="宋体" w:cs="宋体"/>
                <w:snapToGrid w:val="0"/>
                <w:color w:val="auto"/>
                <w:sz w:val="21"/>
                <w:szCs w:val="21"/>
                <w:highlight w:val="none"/>
                <w:lang w:val="en-US" w:eastAsia="zh-CN"/>
              </w:rPr>
              <w:t>1</w:t>
            </w:r>
            <w:r>
              <w:rPr>
                <w:rFonts w:hint="eastAsia" w:ascii="宋体" w:hAnsi="宋体" w:eastAsia="宋体" w:cs="宋体"/>
                <w:snapToGrid w:val="0"/>
                <w:color w:val="auto"/>
                <w:sz w:val="21"/>
                <w:szCs w:val="21"/>
                <w:highlight w:val="none"/>
              </w:rPr>
              <w:t>=</w:t>
            </w:r>
            <w:r>
              <w:rPr>
                <w:rFonts w:hint="eastAsia" w:ascii="宋体" w:hAnsi="宋体" w:eastAsia="宋体" w:cs="宋体"/>
                <w:snapToGrid w:val="0"/>
                <w:color w:val="auto"/>
                <w:sz w:val="21"/>
                <w:szCs w:val="21"/>
                <w:highlight w:val="none"/>
                <w:lang w:val="en-US" w:eastAsia="zh-CN"/>
              </w:rPr>
              <w:t>16.97</w:t>
            </w:r>
            <w:r>
              <w:rPr>
                <w:rFonts w:hint="eastAsia" w:ascii="宋体" w:hAnsi="宋体" w:eastAsia="宋体" w:cs="宋体"/>
                <w:snapToGrid w:val="0"/>
                <w:color w:val="auto"/>
                <w:sz w:val="21"/>
                <w:szCs w:val="21"/>
                <w:highlight w:val="none"/>
              </w:rPr>
              <w:t>(万元)</w:t>
            </w:r>
          </w:p>
        </w:tc>
      </w:tr>
      <w:tr w14:paraId="6A1D224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85" w:hRule="atLeast"/>
        </w:trPr>
        <w:tc>
          <w:tcPr>
            <w:tcW w:w="795" w:type="dxa"/>
            <w:noWrap w:val="0"/>
            <w:vAlign w:val="center"/>
          </w:tcPr>
          <w:p w14:paraId="66BCAA1E">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16</w:t>
            </w:r>
          </w:p>
        </w:tc>
        <w:tc>
          <w:tcPr>
            <w:tcW w:w="1708" w:type="dxa"/>
            <w:noWrap w:val="0"/>
            <w:vAlign w:val="center"/>
          </w:tcPr>
          <w:p w14:paraId="06AA772B">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rPr>
              <w:t>不正当竞争预防措施</w:t>
            </w:r>
          </w:p>
        </w:tc>
        <w:tc>
          <w:tcPr>
            <w:tcW w:w="8040" w:type="dxa"/>
            <w:noWrap w:val="0"/>
            <w:vAlign w:val="center"/>
          </w:tcPr>
          <w:p w14:paraId="435668D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auto"/>
                <w:sz w:val="28"/>
                <w:szCs w:val="28"/>
                <w:highlight w:val="none"/>
              </w:rPr>
            </w:pPr>
            <w:r>
              <w:rPr>
                <w:rFonts w:hint="eastAsia" w:ascii="宋体" w:hAnsi="宋体" w:eastAsia="宋体" w:cs="宋体"/>
                <w:snapToGrid w:val="0"/>
                <w:color w:val="auto"/>
                <w:sz w:val="21"/>
                <w:szCs w:val="21"/>
                <w:highlight w:val="none"/>
                <w:lang w:val="en-US" w:eastAsia="zh-CN"/>
              </w:rPr>
              <w:t>根据《政府采购货物和服务招标投标管理办法》（财政部令第87号）第六十条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500403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trPr>
        <w:tc>
          <w:tcPr>
            <w:tcW w:w="795" w:type="dxa"/>
            <w:noWrap w:val="0"/>
            <w:vAlign w:val="center"/>
          </w:tcPr>
          <w:p w14:paraId="683DA37C">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lang w:val="en-US" w:eastAsia="zh-CN"/>
              </w:rPr>
              <w:t>17</w:t>
            </w:r>
          </w:p>
        </w:tc>
        <w:tc>
          <w:tcPr>
            <w:tcW w:w="1708" w:type="dxa"/>
            <w:noWrap w:val="0"/>
            <w:vAlign w:val="center"/>
          </w:tcPr>
          <w:p w14:paraId="4013CCB1">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投标有效期</w:t>
            </w:r>
          </w:p>
        </w:tc>
        <w:tc>
          <w:tcPr>
            <w:tcW w:w="8040" w:type="dxa"/>
            <w:noWrap w:val="0"/>
            <w:vAlign w:val="center"/>
          </w:tcPr>
          <w:p w14:paraId="687F0A92">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投标有效期为</w:t>
            </w:r>
            <w:r>
              <w:rPr>
                <w:rFonts w:hint="eastAsia" w:ascii="宋体" w:hAnsi="宋体" w:eastAsia="宋体" w:cs="宋体"/>
                <w:color w:val="auto"/>
                <w:sz w:val="21"/>
                <w:szCs w:val="21"/>
                <w:highlight w:val="none"/>
                <w:u w:val="single"/>
                <w:lang w:val="en-US" w:eastAsia="zh-CN"/>
              </w:rPr>
              <w:t>60</w:t>
            </w:r>
            <w:r>
              <w:rPr>
                <w:rFonts w:hint="eastAsia" w:ascii="宋体" w:hAnsi="宋体" w:eastAsia="宋体" w:cs="宋体"/>
                <w:color w:val="auto"/>
                <w:sz w:val="21"/>
                <w:szCs w:val="21"/>
                <w:highlight w:val="none"/>
                <w:lang w:val="en-US" w:eastAsia="zh-CN"/>
              </w:rPr>
              <w:t>日历天（从投标截止之日算起）。在此期限内，凡符合本采购文件要求的投标文件均保持有效。</w:t>
            </w:r>
          </w:p>
        </w:tc>
      </w:tr>
      <w:tr w14:paraId="50AC4C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75" w:hRule="atLeast"/>
        </w:trPr>
        <w:tc>
          <w:tcPr>
            <w:tcW w:w="795" w:type="dxa"/>
            <w:vMerge w:val="restart"/>
            <w:noWrap w:val="0"/>
            <w:vAlign w:val="center"/>
          </w:tcPr>
          <w:p w14:paraId="55E21775">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18</w:t>
            </w:r>
          </w:p>
        </w:tc>
        <w:tc>
          <w:tcPr>
            <w:tcW w:w="1708" w:type="dxa"/>
            <w:tcBorders>
              <w:bottom w:val="single" w:color="auto" w:sz="4" w:space="0"/>
            </w:tcBorders>
            <w:noWrap w:val="0"/>
            <w:vAlign w:val="center"/>
          </w:tcPr>
          <w:p w14:paraId="05A0E41D">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rPr>
              <w:t>投标保证金</w:t>
            </w:r>
          </w:p>
        </w:tc>
        <w:tc>
          <w:tcPr>
            <w:tcW w:w="8040" w:type="dxa"/>
            <w:tcBorders>
              <w:bottom w:val="single" w:color="auto" w:sz="4" w:space="0"/>
            </w:tcBorders>
            <w:noWrap w:val="0"/>
            <w:vAlign w:val="top"/>
          </w:tcPr>
          <w:p w14:paraId="4CDDBCC3">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投标保证金交纳方式：</w:t>
            </w:r>
            <w:r>
              <w:rPr>
                <w:rFonts w:hint="eastAsia" w:ascii="宋体" w:hAnsi="宋体" w:eastAsia="宋体" w:cs="宋体"/>
                <w:sz w:val="21"/>
                <w:szCs w:val="21"/>
                <w:highlight w:val="none"/>
              </w:rPr>
              <w:t>投标保证金应当以支票、汇票、本票、网上银行支付</w:t>
            </w:r>
            <w:r>
              <w:rPr>
                <w:rFonts w:hint="eastAsia" w:ascii="宋体" w:hAnsi="宋体" w:eastAsia="宋体" w:cs="宋体"/>
                <w:sz w:val="21"/>
                <w:szCs w:val="21"/>
                <w:highlight w:val="none"/>
                <w:lang w:eastAsia="zh-CN"/>
              </w:rPr>
              <w:t>等方式，优先推荐</w:t>
            </w:r>
            <w:r>
              <w:rPr>
                <w:rFonts w:hint="eastAsia" w:ascii="宋体" w:hAnsi="宋体" w:eastAsia="宋体" w:cs="宋体"/>
                <w:sz w:val="21"/>
                <w:szCs w:val="21"/>
                <w:highlight w:val="none"/>
              </w:rPr>
              <w:t>金融机构、担保机构出具的保函等非现金形式缴纳。</w:t>
            </w:r>
          </w:p>
          <w:p w14:paraId="22164FA1">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仿宋" w:hAnsi="仿宋" w:eastAsia="仿宋" w:cs="仿宋"/>
                <w:color w:val="auto"/>
                <w:sz w:val="28"/>
                <w:szCs w:val="28"/>
                <w:highlight w:val="none"/>
              </w:rPr>
            </w:pPr>
            <w:r>
              <w:rPr>
                <w:rFonts w:hint="eastAsia" w:ascii="宋体" w:hAnsi="宋体" w:eastAsia="宋体" w:cs="宋体"/>
                <w:b/>
                <w:bCs/>
                <w:color w:val="auto"/>
                <w:sz w:val="21"/>
                <w:szCs w:val="21"/>
                <w:highlight w:val="none"/>
              </w:rPr>
              <w:t>投标保证金的金额：</w:t>
            </w:r>
            <w:r>
              <w:rPr>
                <w:rFonts w:hint="eastAsia" w:ascii="宋体" w:hAnsi="宋体" w:eastAsia="宋体" w:cs="宋体"/>
                <w:b/>
                <w:bCs/>
                <w:color w:val="auto"/>
                <w:sz w:val="21"/>
                <w:szCs w:val="21"/>
                <w:highlight w:val="none"/>
                <w:lang w:val="en-US" w:eastAsia="zh-CN"/>
              </w:rPr>
              <w:t>10000</w:t>
            </w:r>
            <w:r>
              <w:rPr>
                <w:rFonts w:hint="eastAsia" w:ascii="宋体" w:hAnsi="宋体" w:eastAsia="宋体" w:cs="宋体"/>
                <w:b/>
                <w:bCs/>
                <w:color w:val="auto"/>
                <w:sz w:val="21"/>
                <w:szCs w:val="21"/>
                <w:highlight w:val="none"/>
                <w:lang w:eastAsia="zh-CN"/>
              </w:rPr>
              <w:t>.00</w:t>
            </w:r>
            <w:r>
              <w:rPr>
                <w:rFonts w:hint="eastAsia" w:ascii="宋体" w:hAnsi="宋体" w:eastAsia="宋体" w:cs="宋体"/>
                <w:b/>
                <w:bCs/>
                <w:color w:val="auto"/>
                <w:sz w:val="21"/>
                <w:szCs w:val="21"/>
                <w:highlight w:val="none"/>
              </w:rPr>
              <w:t>元（</w:t>
            </w:r>
            <w:r>
              <w:rPr>
                <w:rFonts w:hint="eastAsia" w:ascii="宋体" w:hAnsi="宋体" w:eastAsia="宋体" w:cs="宋体"/>
                <w:b/>
                <w:bCs/>
                <w:color w:val="auto"/>
                <w:sz w:val="21"/>
                <w:szCs w:val="21"/>
                <w:highlight w:val="none"/>
                <w:lang w:val="en-US" w:eastAsia="zh-CN"/>
              </w:rPr>
              <w:t>壹万元整</w:t>
            </w:r>
            <w:r>
              <w:rPr>
                <w:rFonts w:hint="eastAsia" w:ascii="宋体" w:hAnsi="宋体" w:eastAsia="宋体" w:cs="宋体"/>
                <w:b/>
                <w:bCs/>
                <w:color w:val="auto"/>
                <w:sz w:val="21"/>
                <w:szCs w:val="21"/>
                <w:highlight w:val="none"/>
              </w:rPr>
              <w:t>）</w:t>
            </w:r>
          </w:p>
        </w:tc>
      </w:tr>
      <w:tr w14:paraId="09E932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795" w:type="dxa"/>
            <w:vMerge w:val="continue"/>
            <w:noWrap w:val="0"/>
            <w:vAlign w:val="center"/>
          </w:tcPr>
          <w:p w14:paraId="47491BF8">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rPr>
            </w:pPr>
          </w:p>
        </w:tc>
        <w:tc>
          <w:tcPr>
            <w:tcW w:w="9748" w:type="dxa"/>
            <w:gridSpan w:val="2"/>
            <w:tcBorders>
              <w:top w:val="single" w:color="auto" w:sz="4" w:space="0"/>
            </w:tcBorders>
            <w:noWrap w:val="0"/>
            <w:vAlign w:val="center"/>
          </w:tcPr>
          <w:p w14:paraId="43BE009E">
            <w:pPr>
              <w:keepNext w:val="0"/>
              <w:keepLines w:val="0"/>
              <w:pageBreakBefore w:val="0"/>
              <w:shd w:val="clear" w:color="auto" w:fill="auto"/>
              <w:kinsoku/>
              <w:wordWrap/>
              <w:overflowPunct/>
              <w:topLinePunct w:val="0"/>
              <w:autoSpaceDE/>
              <w:autoSpaceDN/>
              <w:bidi w:val="0"/>
              <w:adjustRightInd/>
              <w:snapToGrid w:val="0"/>
              <w:spacing w:line="290" w:lineRule="exact"/>
              <w:ind w:firstLine="215" w:firstLineChars="1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一、投标保证金交纳要求：</w:t>
            </w:r>
          </w:p>
          <w:p w14:paraId="17BFB393">
            <w:pPr>
              <w:keepNext w:val="0"/>
              <w:keepLines w:val="0"/>
              <w:pageBreakBefore w:val="0"/>
              <w:shd w:val="clear" w:color="auto" w:fill="auto"/>
              <w:kinsoku/>
              <w:wordWrap/>
              <w:overflowPunct/>
              <w:topLinePunct w:val="0"/>
              <w:autoSpaceDE/>
              <w:autoSpaceDN/>
              <w:bidi w:val="0"/>
              <w:adjustRightInd/>
              <w:snapToGrid w:val="0"/>
              <w:spacing w:line="290" w:lineRule="exact"/>
              <w:ind w:firstLine="215" w:firstLineChars="1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投标保证金应当以支票、汇票、本票、网上银行支付或者金融机构、担保机构出具的保函等非现金形式缴纳。</w:t>
            </w:r>
          </w:p>
          <w:p w14:paraId="116CF28A">
            <w:pPr>
              <w:keepNext w:val="0"/>
              <w:keepLines w:val="0"/>
              <w:pageBreakBefore w:val="0"/>
              <w:shd w:val="clear" w:color="auto" w:fill="auto"/>
              <w:kinsoku/>
              <w:wordWrap/>
              <w:overflowPunct/>
              <w:topLinePunct w:val="0"/>
              <w:autoSpaceDE/>
              <w:autoSpaceDN/>
              <w:bidi w:val="0"/>
              <w:adjustRightInd/>
              <w:snapToGrid w:val="0"/>
              <w:spacing w:line="290" w:lineRule="exact"/>
              <w:ind w:firstLine="215" w:firstLineChars="1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 xml:space="preserve">投标保证金金额：10000.00元     大写：壹万元整  </w:t>
            </w:r>
          </w:p>
          <w:p w14:paraId="3C536511">
            <w:pPr>
              <w:keepNext w:val="0"/>
              <w:keepLines w:val="0"/>
              <w:pageBreakBefore w:val="0"/>
              <w:shd w:val="clear" w:color="auto" w:fill="auto"/>
              <w:kinsoku/>
              <w:wordWrap/>
              <w:overflowPunct/>
              <w:topLinePunct w:val="0"/>
              <w:autoSpaceDE/>
              <w:autoSpaceDN/>
              <w:bidi w:val="0"/>
              <w:adjustRightInd/>
              <w:snapToGrid w:val="0"/>
              <w:spacing w:line="290" w:lineRule="exact"/>
              <w:ind w:firstLine="215" w:firstLineChars="1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1、投标保证金以电汇、网银形式提交的，应在投标截止前以总公司的基本账户一次性汇入指定账户（以到账时间为准），不接受现金及任何个人汇款。汇款凭证作为该项目投标保证金的缴纳依据。</w:t>
            </w:r>
          </w:p>
          <w:p w14:paraId="15DA9EA0">
            <w:pPr>
              <w:keepNext w:val="0"/>
              <w:keepLines w:val="0"/>
              <w:pageBreakBefore w:val="0"/>
              <w:shd w:val="clear" w:color="auto" w:fill="auto"/>
              <w:kinsoku/>
              <w:wordWrap/>
              <w:overflowPunct/>
              <w:topLinePunct w:val="0"/>
              <w:autoSpaceDE/>
              <w:autoSpaceDN/>
              <w:bidi w:val="0"/>
              <w:adjustRightInd/>
              <w:snapToGrid w:val="0"/>
              <w:spacing w:line="290" w:lineRule="exact"/>
              <w:ind w:firstLine="215" w:firstLineChars="1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2、其他特殊情况处理：有效投标保证金成功交纳后，截止开标时间，供应商无正当理由不参加该项目投标且不递交弃标函，投标保证金不予退还。</w:t>
            </w:r>
          </w:p>
          <w:p w14:paraId="6B09DA3E">
            <w:pPr>
              <w:keepNext w:val="0"/>
              <w:keepLines w:val="0"/>
              <w:pageBreakBefore w:val="0"/>
              <w:shd w:val="clear" w:color="auto" w:fill="auto"/>
              <w:kinsoku/>
              <w:wordWrap/>
              <w:overflowPunct/>
              <w:topLinePunct w:val="0"/>
              <w:autoSpaceDE/>
              <w:autoSpaceDN/>
              <w:bidi w:val="0"/>
              <w:adjustRightInd/>
              <w:snapToGrid w:val="0"/>
              <w:spacing w:line="290" w:lineRule="exact"/>
              <w:ind w:firstLine="215" w:firstLineChars="1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户名：克孜勒苏柯尔克孜自治州政务服务和公共资源交易中心</w:t>
            </w:r>
          </w:p>
          <w:p w14:paraId="2BFCD283">
            <w:pPr>
              <w:keepNext w:val="0"/>
              <w:keepLines w:val="0"/>
              <w:pageBreakBefore w:val="0"/>
              <w:shd w:val="clear" w:color="auto" w:fill="auto"/>
              <w:kinsoku/>
              <w:wordWrap/>
              <w:overflowPunct/>
              <w:topLinePunct w:val="0"/>
              <w:autoSpaceDE/>
              <w:autoSpaceDN/>
              <w:bidi w:val="0"/>
              <w:adjustRightInd/>
              <w:snapToGrid w:val="0"/>
              <w:spacing w:line="290" w:lineRule="exact"/>
              <w:ind w:firstLine="215" w:firstLineChars="1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账号：30456301040005069</w:t>
            </w:r>
          </w:p>
          <w:p w14:paraId="6F3D8DCD">
            <w:pPr>
              <w:keepNext w:val="0"/>
              <w:keepLines w:val="0"/>
              <w:pageBreakBefore w:val="0"/>
              <w:shd w:val="clear" w:color="auto" w:fill="auto"/>
              <w:kinsoku/>
              <w:wordWrap/>
              <w:overflowPunct/>
              <w:topLinePunct w:val="0"/>
              <w:autoSpaceDE/>
              <w:autoSpaceDN/>
              <w:bidi w:val="0"/>
              <w:adjustRightInd/>
              <w:snapToGrid w:val="0"/>
              <w:spacing w:line="290" w:lineRule="exact"/>
              <w:ind w:firstLine="215" w:firstLineChars="1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开户行：中国农业银行股份有限公司阿图什天山支行</w:t>
            </w:r>
          </w:p>
          <w:p w14:paraId="78AAD9DA">
            <w:pPr>
              <w:keepNext w:val="0"/>
              <w:keepLines w:val="0"/>
              <w:pageBreakBefore w:val="0"/>
              <w:shd w:val="clear" w:color="auto" w:fill="auto"/>
              <w:kinsoku/>
              <w:wordWrap/>
              <w:overflowPunct/>
              <w:topLinePunct w:val="0"/>
              <w:autoSpaceDE/>
              <w:autoSpaceDN/>
              <w:bidi w:val="0"/>
              <w:adjustRightInd/>
              <w:snapToGrid w:val="0"/>
              <w:spacing w:line="290" w:lineRule="exact"/>
              <w:ind w:firstLine="215" w:firstLineChars="1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行号：103893045636</w:t>
            </w:r>
          </w:p>
          <w:p w14:paraId="7C20D243">
            <w:pPr>
              <w:keepNext w:val="0"/>
              <w:keepLines w:val="0"/>
              <w:pageBreakBefore w:val="0"/>
              <w:shd w:val="clear" w:color="auto" w:fill="auto"/>
              <w:kinsoku/>
              <w:wordWrap/>
              <w:overflowPunct/>
              <w:topLinePunct w:val="0"/>
              <w:autoSpaceDE/>
              <w:autoSpaceDN/>
              <w:bidi w:val="0"/>
              <w:adjustRightInd/>
              <w:snapToGrid w:val="0"/>
              <w:spacing w:line="290" w:lineRule="exact"/>
              <w:ind w:firstLine="215" w:firstLineChars="1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联系人：帕女士</w:t>
            </w:r>
          </w:p>
          <w:p w14:paraId="28C9FF6D">
            <w:pPr>
              <w:keepNext w:val="0"/>
              <w:keepLines w:val="0"/>
              <w:pageBreakBefore w:val="0"/>
              <w:shd w:val="clear" w:color="auto" w:fill="auto"/>
              <w:kinsoku/>
              <w:wordWrap/>
              <w:overflowPunct/>
              <w:topLinePunct w:val="0"/>
              <w:autoSpaceDE/>
              <w:autoSpaceDN/>
              <w:bidi w:val="0"/>
              <w:adjustRightInd/>
              <w:snapToGrid w:val="0"/>
              <w:spacing w:line="290" w:lineRule="exact"/>
              <w:ind w:firstLine="215" w:firstLineChars="1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电话：0908-4220265    15809081090</w:t>
            </w:r>
          </w:p>
          <w:p w14:paraId="02B65D61">
            <w:pPr>
              <w:keepNext w:val="0"/>
              <w:keepLines w:val="0"/>
              <w:pageBreakBefore w:val="0"/>
              <w:shd w:val="clear" w:color="auto" w:fill="auto"/>
              <w:kinsoku/>
              <w:wordWrap/>
              <w:overflowPunct/>
              <w:topLinePunct w:val="0"/>
              <w:autoSpaceDE/>
              <w:autoSpaceDN/>
              <w:bidi w:val="0"/>
              <w:adjustRightInd/>
              <w:snapToGrid w:val="0"/>
              <w:spacing w:line="290" w:lineRule="exact"/>
              <w:ind w:firstLine="215" w:firstLineChars="1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（备注：必须写明xx公司xx项目保证金）</w:t>
            </w:r>
          </w:p>
          <w:p w14:paraId="0B71C1F3">
            <w:pPr>
              <w:keepNext w:val="0"/>
              <w:keepLines w:val="0"/>
              <w:pageBreakBefore w:val="0"/>
              <w:shd w:val="clear" w:color="auto" w:fill="auto"/>
              <w:kinsoku/>
              <w:wordWrap/>
              <w:overflowPunct/>
              <w:topLinePunct w:val="0"/>
              <w:autoSpaceDE/>
              <w:autoSpaceDN/>
              <w:bidi w:val="0"/>
              <w:adjustRightInd/>
              <w:snapToGrid w:val="0"/>
              <w:spacing w:line="290" w:lineRule="exact"/>
              <w:ind w:firstLine="215" w:firstLineChars="1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二、申请退还投标保证金资料（招投标结束中标结果公示后）：</w:t>
            </w:r>
          </w:p>
          <w:p w14:paraId="0500F2AF">
            <w:pPr>
              <w:keepNext w:val="0"/>
              <w:keepLines w:val="0"/>
              <w:pageBreakBefore w:val="0"/>
              <w:shd w:val="clear" w:color="auto" w:fill="auto"/>
              <w:kinsoku/>
              <w:wordWrap/>
              <w:overflowPunct/>
              <w:topLinePunct w:val="0"/>
              <w:autoSpaceDE/>
              <w:autoSpaceDN/>
              <w:bidi w:val="0"/>
              <w:adjustRightInd/>
              <w:snapToGrid w:val="0"/>
              <w:spacing w:line="290" w:lineRule="exact"/>
              <w:ind w:firstLine="215" w:firstLineChars="1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1、投标企业：待开标完成后，未中标企业3个工作日内政资中心将收取的项目投标保证金按投标企业基本户退回。</w:t>
            </w:r>
          </w:p>
          <w:p w14:paraId="5475A886">
            <w:pPr>
              <w:keepNext w:val="0"/>
              <w:keepLines w:val="0"/>
              <w:pageBreakBefore w:val="0"/>
              <w:shd w:val="clear" w:color="auto" w:fill="auto"/>
              <w:kinsoku/>
              <w:wordWrap/>
              <w:overflowPunct/>
              <w:topLinePunct w:val="0"/>
              <w:autoSpaceDE/>
              <w:autoSpaceDN/>
              <w:bidi w:val="0"/>
              <w:adjustRightInd/>
              <w:snapToGrid w:val="0"/>
              <w:spacing w:line="290" w:lineRule="exact"/>
              <w:ind w:firstLine="215" w:firstLineChars="1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2、中标企业：需提供已签订合同复印件一份，复印件每页需加盖企业鲜章（并携带合同原件，由中心工作人员核对后退还）。</w:t>
            </w:r>
          </w:p>
          <w:p w14:paraId="54A35278">
            <w:pPr>
              <w:keepNext w:val="0"/>
              <w:keepLines w:val="0"/>
              <w:pageBreakBefore w:val="0"/>
              <w:shd w:val="clear" w:color="auto" w:fill="auto"/>
              <w:kinsoku/>
              <w:wordWrap/>
              <w:overflowPunct/>
              <w:topLinePunct w:val="0"/>
              <w:autoSpaceDE/>
              <w:autoSpaceDN/>
              <w:bidi w:val="0"/>
              <w:adjustRightInd/>
              <w:snapToGrid w:val="0"/>
              <w:spacing w:line="290" w:lineRule="exact"/>
              <w:ind w:firstLine="215" w:firstLineChars="1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三、其他特殊情况处理：</w:t>
            </w:r>
          </w:p>
          <w:p w14:paraId="37599363">
            <w:pPr>
              <w:keepNext w:val="0"/>
              <w:keepLines w:val="0"/>
              <w:pageBreakBefore w:val="0"/>
              <w:shd w:val="clear" w:color="auto" w:fill="auto"/>
              <w:kinsoku/>
              <w:wordWrap/>
              <w:overflowPunct/>
              <w:topLinePunct w:val="0"/>
              <w:autoSpaceDE/>
              <w:autoSpaceDN/>
              <w:bidi w:val="0"/>
              <w:adjustRightInd/>
              <w:snapToGrid w:val="0"/>
              <w:spacing w:line="290" w:lineRule="exact"/>
              <w:ind w:firstLine="215" w:firstLineChars="100"/>
              <w:textAlignment w:val="auto"/>
              <w:outlineLvl w:val="9"/>
              <w:rPr>
                <w:rFonts w:hint="eastAsia" w:ascii="仿宋" w:hAnsi="仿宋" w:eastAsia="仿宋" w:cs="仿宋"/>
                <w:color w:val="auto"/>
                <w:sz w:val="28"/>
                <w:szCs w:val="28"/>
                <w:highlight w:val="none"/>
              </w:rPr>
            </w:pPr>
            <w:r>
              <w:rPr>
                <w:rFonts w:hint="eastAsia" w:ascii="宋体" w:hAnsi="宋体" w:eastAsia="宋体" w:cs="宋体"/>
                <w:bCs/>
                <w:sz w:val="21"/>
                <w:szCs w:val="21"/>
              </w:rPr>
              <w:t>1、按照招标文件要求规定：投标企业无正当理由不参加该项目投标且在规定开标时间前不递交弃标函，投标保证金不予退还。</w:t>
            </w:r>
          </w:p>
        </w:tc>
      </w:tr>
      <w:tr w14:paraId="5D8A22E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24" w:hRule="atLeast"/>
        </w:trPr>
        <w:tc>
          <w:tcPr>
            <w:tcW w:w="795" w:type="dxa"/>
            <w:noWrap w:val="0"/>
            <w:vAlign w:val="center"/>
          </w:tcPr>
          <w:p w14:paraId="5F6CF6CF">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lang w:val="en-US" w:eastAsia="zh-CN"/>
              </w:rPr>
              <w:t>19</w:t>
            </w:r>
          </w:p>
        </w:tc>
        <w:tc>
          <w:tcPr>
            <w:tcW w:w="1708" w:type="dxa"/>
            <w:noWrap w:val="0"/>
            <w:vAlign w:val="center"/>
          </w:tcPr>
          <w:p w14:paraId="4410ABA6">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投标文件形式</w:t>
            </w:r>
          </w:p>
        </w:tc>
        <w:tc>
          <w:tcPr>
            <w:tcW w:w="8040" w:type="dxa"/>
            <w:noWrap w:val="0"/>
            <w:vAlign w:val="center"/>
          </w:tcPr>
          <w:p w14:paraId="7199B93B">
            <w:pPr>
              <w:pStyle w:val="9"/>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电子投标文件包括“电子加密投标文件”和“备份投标文件”，在投标文件编制完成后同时生成。</w:t>
            </w:r>
          </w:p>
          <w:p w14:paraId="4527ADC6">
            <w:pPr>
              <w:pStyle w:val="9"/>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1、“电子加密投标文件”是指通过“政采云电子交易客户端”完成投标文件编制后生成并加密的数据电文形式的投标文件。</w:t>
            </w:r>
          </w:p>
          <w:p w14:paraId="2CB47B00">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2、“备份投标文件”是指与“电子加密投标文件”同时生成的数据电文形式的电子文件（备份标书，用于供应商标书解密异常时应急使用），其他方式编制的备份投标文件视为无效备份投标文件。</w:t>
            </w:r>
          </w:p>
        </w:tc>
      </w:tr>
      <w:tr w14:paraId="4295704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trPr>
        <w:tc>
          <w:tcPr>
            <w:tcW w:w="795" w:type="dxa"/>
            <w:noWrap w:val="0"/>
            <w:vAlign w:val="center"/>
          </w:tcPr>
          <w:p w14:paraId="16BF3EE5">
            <w:pPr>
              <w:keepNext w:val="0"/>
              <w:keepLines w:val="0"/>
              <w:pageBreakBefore w:val="0"/>
              <w:shd w:val="clear" w:color="auto" w:fill="auto"/>
              <w:kinsoku/>
              <w:wordWrap/>
              <w:overflowPunct/>
              <w:topLinePunct w:val="0"/>
              <w:autoSpaceDE/>
              <w:autoSpaceDN/>
              <w:bidi w:val="0"/>
              <w:adjustRightInd/>
              <w:snapToGrid w:val="0"/>
              <w:spacing w:line="290" w:lineRule="exact"/>
              <w:ind w:left="-90" w:leftChars="-37" w:right="-110" w:rightChars="-45"/>
              <w:jc w:val="center"/>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lang w:val="en-US" w:eastAsia="zh-CN"/>
              </w:rPr>
              <w:t>20</w:t>
            </w:r>
          </w:p>
        </w:tc>
        <w:tc>
          <w:tcPr>
            <w:tcW w:w="1708" w:type="dxa"/>
            <w:noWrap w:val="0"/>
            <w:vAlign w:val="center"/>
          </w:tcPr>
          <w:p w14:paraId="52EFB977">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b/>
                <w:bCs/>
                <w:color w:val="auto"/>
                <w:sz w:val="21"/>
                <w:szCs w:val="21"/>
                <w:highlight w:val="none"/>
                <w:lang w:val="en-US" w:eastAsia="zh-CN"/>
              </w:rPr>
              <w:t>投标文件份数及要求</w:t>
            </w:r>
          </w:p>
        </w:tc>
        <w:tc>
          <w:tcPr>
            <w:tcW w:w="8040" w:type="dxa"/>
            <w:noWrap w:val="0"/>
            <w:vAlign w:val="center"/>
          </w:tcPr>
          <w:p w14:paraId="0993D228">
            <w:pPr>
              <w:pStyle w:val="9"/>
              <w:numPr>
                <w:ilvl w:val="0"/>
                <w:numId w:val="3"/>
              </w:numPr>
              <w:snapToGrid w:val="0"/>
              <w:spacing w:line="290" w:lineRule="exac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一份电子加密标书（“.jmbs”格式）</w:t>
            </w:r>
            <w:r>
              <w:rPr>
                <w:rFonts w:hint="eastAsia" w:ascii="宋体" w:hAnsi="宋体" w:eastAsia="宋体" w:cs="宋体"/>
                <w:b/>
                <w:bCs/>
                <w:color w:val="auto"/>
                <w:sz w:val="21"/>
                <w:szCs w:val="21"/>
                <w:highlight w:val="none"/>
                <w:lang w:eastAsia="zh-CN"/>
              </w:rPr>
              <w:t>。</w:t>
            </w:r>
          </w:p>
          <w:p w14:paraId="236F9217">
            <w:pPr>
              <w:pStyle w:val="9"/>
              <w:numPr>
                <w:ilvl w:val="0"/>
                <w:numId w:val="0"/>
              </w:numPr>
              <w:snapToGrid w:val="0"/>
              <w:spacing w:line="290" w:lineRule="exact"/>
              <w:ind w:left="0" w:leftChars="0" w:firstLine="0" w:firstLineChars="0"/>
              <w:rPr>
                <w:rFonts w:hint="eastAsia" w:ascii="仿宋" w:hAnsi="仿宋" w:eastAsia="仿宋" w:cs="仿宋"/>
                <w:color w:val="auto"/>
                <w:sz w:val="28"/>
                <w:szCs w:val="28"/>
                <w:highlight w:val="none"/>
                <w:lang w:val="en-US" w:eastAsia="zh-CN"/>
              </w:rPr>
            </w:pPr>
            <w:r>
              <w:rPr>
                <w:rFonts w:hint="eastAsia" w:ascii="宋体" w:hAnsi="宋体" w:eastAsia="宋体" w:cs="宋体"/>
                <w:b/>
                <w:bCs/>
                <w:color w:val="auto"/>
                <w:sz w:val="21"/>
                <w:szCs w:val="21"/>
                <w:highlight w:val="none"/>
              </w:rPr>
              <w:t>2、每份电子投标文件应包括资格证明文件和商务、技术文件两部分。</w:t>
            </w:r>
          </w:p>
        </w:tc>
      </w:tr>
      <w:tr w14:paraId="58BE6C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0" w:hRule="atLeast"/>
        </w:trPr>
        <w:tc>
          <w:tcPr>
            <w:tcW w:w="795" w:type="dxa"/>
            <w:vMerge w:val="restart"/>
            <w:noWrap w:val="0"/>
            <w:vAlign w:val="center"/>
          </w:tcPr>
          <w:p w14:paraId="36F202F9">
            <w:pPr>
              <w:keepNext w:val="0"/>
              <w:keepLines w:val="0"/>
              <w:pageBreakBefore w:val="0"/>
              <w:shd w:val="clear" w:color="auto" w:fill="auto"/>
              <w:kinsoku/>
              <w:wordWrap/>
              <w:overflowPunct/>
              <w:topLinePunct w:val="0"/>
              <w:autoSpaceDE/>
              <w:autoSpaceDN/>
              <w:bidi w:val="0"/>
              <w:adjustRightInd/>
              <w:snapToGrid w:val="0"/>
              <w:spacing w:line="290" w:lineRule="exact"/>
              <w:ind w:left="-90" w:leftChars="-37" w:right="-110" w:rightChars="-45"/>
              <w:jc w:val="center"/>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lang w:val="en-US" w:eastAsia="zh-CN"/>
              </w:rPr>
              <w:t>21</w:t>
            </w:r>
          </w:p>
        </w:tc>
        <w:tc>
          <w:tcPr>
            <w:tcW w:w="1708" w:type="dxa"/>
            <w:vMerge w:val="restart"/>
            <w:noWrap w:val="0"/>
            <w:vAlign w:val="center"/>
          </w:tcPr>
          <w:p w14:paraId="43B6C863">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bCs/>
                <w:color w:val="auto"/>
                <w:sz w:val="28"/>
                <w:szCs w:val="28"/>
                <w:highlight w:val="none"/>
                <w:lang w:val="en-US" w:eastAsia="zh-CN"/>
              </w:rPr>
            </w:pPr>
            <w:r>
              <w:rPr>
                <w:rFonts w:hint="eastAsia" w:ascii="宋体" w:hAnsi="宋体" w:eastAsia="宋体" w:cs="宋体"/>
                <w:b/>
                <w:bCs/>
                <w:color w:val="auto"/>
                <w:sz w:val="21"/>
                <w:szCs w:val="21"/>
                <w:highlight w:val="none"/>
                <w:lang w:bidi="zh-CN"/>
              </w:rPr>
              <w:t>投标文件的上传和递交</w:t>
            </w:r>
          </w:p>
        </w:tc>
        <w:tc>
          <w:tcPr>
            <w:tcW w:w="8040" w:type="dxa"/>
            <w:noWrap w:val="0"/>
            <w:vAlign w:val="center"/>
          </w:tcPr>
          <w:p w14:paraId="3281EDC5">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sz w:val="21"/>
                <w:szCs w:val="21"/>
                <w:highlight w:val="none"/>
                <w:u w:val="single" w:color="auto"/>
                <w:lang w:val="en-US" w:eastAsia="zh-CN"/>
              </w:rPr>
            </w:pPr>
            <w:r>
              <w:rPr>
                <w:rFonts w:hint="eastAsia" w:ascii="宋体" w:hAnsi="宋体" w:eastAsia="宋体" w:cs="宋体"/>
                <w:color w:val="auto"/>
                <w:sz w:val="21"/>
                <w:szCs w:val="21"/>
                <w:highlight w:val="none"/>
                <w:lang w:val="en-US" w:eastAsia="zh-CN"/>
              </w:rPr>
              <w:t>1.电子加密投标文件：投标文件制作完成并生成加密标书，在投标截止时间前，供应商需将加密的投标文件上传至政采云平台，</w:t>
            </w:r>
            <w:r>
              <w:rPr>
                <w:rFonts w:hint="eastAsia" w:ascii="宋体" w:hAnsi="宋体" w:eastAsia="宋体" w:cs="宋体"/>
                <w:b/>
                <w:bCs/>
                <w:color w:val="auto"/>
                <w:sz w:val="21"/>
                <w:szCs w:val="21"/>
                <w:highlight w:val="none"/>
                <w:u w:val="single" w:color="auto"/>
                <w:lang w:val="en-US" w:eastAsia="zh-CN"/>
              </w:rPr>
              <w:t>在开标时间开始后，待采购组织机构发出解密通知后30分钟内解密投标文件。</w:t>
            </w:r>
          </w:p>
          <w:p w14:paraId="0D2D6CB2">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a.供应商未能在投标截止时间前成功上传电子加密投标文件的投标无效。</w:t>
            </w:r>
          </w:p>
          <w:p w14:paraId="4B8D16DF">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b.供应商成功上传电子加密投标文件后，可自行打印投标文件接收回执。</w:t>
            </w:r>
          </w:p>
        </w:tc>
      </w:tr>
      <w:tr w14:paraId="0A95E3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8" w:hRule="atLeast"/>
        </w:trPr>
        <w:tc>
          <w:tcPr>
            <w:tcW w:w="795" w:type="dxa"/>
            <w:vMerge w:val="continue"/>
            <w:noWrap w:val="0"/>
            <w:vAlign w:val="center"/>
          </w:tcPr>
          <w:p w14:paraId="3BCE9619">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仿宋" w:hAnsi="仿宋" w:eastAsia="仿宋" w:cs="仿宋"/>
                <w:color w:val="auto"/>
                <w:sz w:val="28"/>
                <w:szCs w:val="28"/>
                <w:highlight w:val="none"/>
              </w:rPr>
            </w:pPr>
          </w:p>
        </w:tc>
        <w:tc>
          <w:tcPr>
            <w:tcW w:w="1708" w:type="dxa"/>
            <w:vMerge w:val="continue"/>
            <w:noWrap w:val="0"/>
            <w:vAlign w:val="center"/>
          </w:tcPr>
          <w:p w14:paraId="70123CDB">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仿宋" w:hAnsi="仿宋" w:eastAsia="仿宋" w:cs="仿宋"/>
                <w:color w:val="auto"/>
                <w:sz w:val="28"/>
                <w:szCs w:val="28"/>
                <w:highlight w:val="none"/>
                <w:lang w:val="en-US" w:eastAsia="zh-CN"/>
              </w:rPr>
            </w:pPr>
          </w:p>
        </w:tc>
        <w:tc>
          <w:tcPr>
            <w:tcW w:w="8040" w:type="dxa"/>
            <w:noWrap w:val="0"/>
            <w:vAlign w:val="center"/>
          </w:tcPr>
          <w:p w14:paraId="370B16EB">
            <w:pPr>
              <w:pStyle w:val="9"/>
              <w:keepNext w:val="0"/>
              <w:keepLines w:val="0"/>
              <w:pageBreakBefore w:val="0"/>
              <w:kinsoku/>
              <w:wordWrap/>
              <w:overflowPunct/>
              <w:topLinePunct w:val="0"/>
              <w:autoSpaceDE/>
              <w:autoSpaceDN/>
              <w:bidi w:val="0"/>
              <w:adjustRightInd/>
              <w:snapToGrid w:val="0"/>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2.备份投标文件：供应商在投标截止时间前将加密的投标文件上传至政府采购云平台，还可以在投标截止时间前以电子邮件方式提供备份投标文件1份（接收人邮箱：</w:t>
            </w:r>
            <w:r>
              <w:rPr>
                <w:rFonts w:hint="eastAsia" w:hAnsi="宋体" w:eastAsia="宋体" w:cs="宋体"/>
                <w:color w:val="auto"/>
                <w:sz w:val="21"/>
                <w:szCs w:val="21"/>
                <w:highlight w:val="none"/>
                <w:lang w:val="en-US" w:eastAsia="zh-CN"/>
              </w:rPr>
              <w:t>1805011525</w:t>
            </w:r>
            <w:r>
              <w:rPr>
                <w:rFonts w:hint="eastAsia" w:ascii="宋体" w:hAnsi="宋体" w:eastAsia="宋体" w:cs="宋体"/>
                <w:color w:val="auto"/>
                <w:sz w:val="21"/>
                <w:szCs w:val="21"/>
                <w:highlight w:val="none"/>
              </w:rPr>
              <w:t>@qq.com，接收人：</w:t>
            </w:r>
            <w:r>
              <w:rPr>
                <w:rFonts w:hint="eastAsia" w:hAnsi="宋体" w:eastAsia="宋体" w:cs="宋体"/>
                <w:color w:val="auto"/>
                <w:sz w:val="21"/>
                <w:szCs w:val="21"/>
                <w:highlight w:val="none"/>
                <w:lang w:val="en-US" w:eastAsia="zh-CN"/>
              </w:rPr>
              <w:t>罗</w:t>
            </w:r>
            <w:r>
              <w:rPr>
                <w:rFonts w:hint="eastAsia" w:ascii="宋体" w:hAnsi="宋体" w:eastAsia="宋体" w:cs="宋体"/>
                <w:color w:val="auto"/>
                <w:sz w:val="21"/>
                <w:szCs w:val="21"/>
                <w:highlight w:val="none"/>
                <w:lang w:val="en-US" w:eastAsia="zh-CN"/>
              </w:rPr>
              <w:t>先生  联系电话：</w:t>
            </w:r>
            <w:r>
              <w:rPr>
                <w:rFonts w:hint="eastAsia" w:hAnsi="宋体" w:eastAsia="宋体" w:cs="宋体"/>
                <w:color w:val="auto"/>
                <w:sz w:val="21"/>
                <w:szCs w:val="21"/>
                <w:highlight w:val="none"/>
                <w:lang w:val="en-US" w:eastAsia="zh-CN"/>
              </w:rPr>
              <w:t>16698959998</w:t>
            </w:r>
            <w:r>
              <w:rPr>
                <w:rFonts w:hint="eastAsia" w:ascii="宋体" w:hAnsi="宋体" w:eastAsia="宋体" w:cs="宋体"/>
                <w:color w:val="auto"/>
                <w:sz w:val="21"/>
                <w:szCs w:val="21"/>
                <w:highlight w:val="none"/>
              </w:rPr>
              <w:t>“备份投标文件”由供应商自愿提供，采购文件不作强制性要求；如不提供或未按要求提供的，当电子投标文件无法解密时，将导致无备份投标文件而失去投标资格。</w:t>
            </w:r>
          </w:p>
          <w:p w14:paraId="38217B7F">
            <w:pPr>
              <w:pStyle w:val="9"/>
              <w:keepNext w:val="0"/>
              <w:keepLines w:val="0"/>
              <w:pageBreakBefore w:val="0"/>
              <w:kinsoku/>
              <w:wordWrap/>
              <w:overflowPunct/>
              <w:topLinePunct w:val="0"/>
              <w:autoSpaceDE/>
              <w:autoSpaceDN/>
              <w:bidi w:val="0"/>
              <w:adjustRightInd/>
              <w:snapToGrid w:val="0"/>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备份投标文件提供要求：供应商可以将备份投标文件打包压缩并加密，压缩包命名为“XX单位备份投标文件”，加密密码由供应商自行保管；送达时间以采购代理机构实际接收时间为准。“备份投标文件”逾期或未按要求提供的视为未提供，建议供应商提前1日办理邮件提供事宜。</w:t>
            </w:r>
          </w:p>
          <w:p w14:paraId="24FE007B">
            <w:pPr>
              <w:pStyle w:val="9"/>
              <w:keepNext w:val="0"/>
              <w:keepLines w:val="0"/>
              <w:pageBreakBefore w:val="0"/>
              <w:shd w:val="clear" w:color="auto" w:fill="auto"/>
              <w:kinsoku/>
              <w:wordWrap/>
              <w:overflowPunct/>
              <w:topLinePunct w:val="0"/>
              <w:autoSpaceDE/>
              <w:autoSpaceDN/>
              <w:bidi w:val="0"/>
              <w:adjustRightInd/>
              <w:snapToGrid w:val="0"/>
              <w:spacing w:line="360" w:lineRule="exact"/>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rPr>
              <w:t>b.通过“政府采购云平台”成功上传递交的“电子加密投标文件”已按时解密的，“备份投标文件”自动失效。投标截止时间前，投标供应商仅提供了“备份投标文件”而未将“电子加密投标文件”成功上传至“政府采购云平台”的，投标无效。</w:t>
            </w:r>
          </w:p>
        </w:tc>
      </w:tr>
      <w:tr w14:paraId="28EC24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trPr>
        <w:tc>
          <w:tcPr>
            <w:tcW w:w="795" w:type="dxa"/>
            <w:noWrap w:val="0"/>
            <w:vAlign w:val="center"/>
          </w:tcPr>
          <w:p w14:paraId="63953AE4">
            <w:pPr>
              <w:keepNext w:val="0"/>
              <w:keepLines w:val="0"/>
              <w:pageBreakBefore w:val="0"/>
              <w:shd w:val="clear" w:color="auto" w:fill="auto"/>
              <w:kinsoku/>
              <w:wordWrap/>
              <w:overflowPunct/>
              <w:topLinePunct w:val="0"/>
              <w:autoSpaceDE/>
              <w:autoSpaceDN/>
              <w:bidi w:val="0"/>
              <w:adjustRightInd/>
              <w:snapToGrid w:val="0"/>
              <w:spacing w:line="290" w:lineRule="exact"/>
              <w:ind w:left="-90" w:leftChars="-37" w:right="-110" w:rightChars="-45"/>
              <w:jc w:val="center"/>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lang w:val="en-US" w:eastAsia="zh-CN"/>
              </w:rPr>
              <w:t>22</w:t>
            </w:r>
          </w:p>
        </w:tc>
        <w:tc>
          <w:tcPr>
            <w:tcW w:w="1708" w:type="dxa"/>
            <w:noWrap w:val="0"/>
            <w:vAlign w:val="center"/>
          </w:tcPr>
          <w:p w14:paraId="37D19856">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lang w:eastAsia="zh-CN"/>
              </w:rPr>
              <w:t>投标截止</w:t>
            </w:r>
            <w:r>
              <w:rPr>
                <w:rFonts w:hint="eastAsia" w:ascii="宋体" w:hAnsi="宋体" w:eastAsia="宋体" w:cs="宋体"/>
                <w:color w:val="auto"/>
                <w:sz w:val="21"/>
                <w:szCs w:val="21"/>
                <w:highlight w:val="none"/>
              </w:rPr>
              <w:t>时间及地点</w:t>
            </w:r>
          </w:p>
        </w:tc>
        <w:tc>
          <w:tcPr>
            <w:tcW w:w="8040" w:type="dxa"/>
            <w:noWrap w:val="0"/>
            <w:vAlign w:val="center"/>
          </w:tcPr>
          <w:p w14:paraId="52658E7E">
            <w:pPr>
              <w:keepNext w:val="0"/>
              <w:keepLines w:val="0"/>
              <w:pageBreakBefore w:val="0"/>
              <w:shd w:val="clear" w:color="auto" w:fill="auto"/>
              <w:kinsoku/>
              <w:wordWrap/>
              <w:overflowPunct/>
              <w:topLinePunct w:val="0"/>
              <w:autoSpaceDE/>
              <w:autoSpaceDN/>
              <w:bidi w:val="0"/>
              <w:adjustRightInd/>
              <w:snapToGrid w:val="0"/>
              <w:spacing w:line="290" w:lineRule="exact"/>
              <w:ind w:firstLine="18" w:firstLineChars="9"/>
              <w:textAlignment w:val="auto"/>
              <w:outlineLvl w:val="9"/>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投标截止</w:t>
            </w:r>
            <w:r>
              <w:rPr>
                <w:rFonts w:hint="eastAsia" w:ascii="宋体" w:hAnsi="宋体" w:eastAsia="宋体" w:cs="宋体"/>
                <w:b/>
                <w:bCs/>
                <w:color w:val="auto"/>
                <w:sz w:val="21"/>
                <w:szCs w:val="21"/>
                <w:highlight w:val="none"/>
              </w:rPr>
              <w:t>时间：</w:t>
            </w:r>
            <w:r>
              <w:rPr>
                <w:rFonts w:hint="eastAsia" w:ascii="宋体" w:hAnsi="宋体" w:eastAsia="宋体" w:cs="宋体"/>
                <w:b/>
                <w:bCs/>
                <w:color w:val="auto"/>
                <w:sz w:val="21"/>
                <w:szCs w:val="21"/>
                <w:highlight w:val="none"/>
                <w:lang w:val="en-US" w:eastAsia="zh-CN"/>
              </w:rPr>
              <w:t>2025年5月13日10</w:t>
            </w:r>
            <w:r>
              <w:rPr>
                <w:rFonts w:hint="eastAsia" w:ascii="宋体" w:hAnsi="宋体" w:eastAsia="宋体" w:cs="宋体"/>
                <w:b/>
                <w:bCs/>
                <w:color w:val="auto"/>
                <w:sz w:val="21"/>
                <w:szCs w:val="21"/>
                <w:highlight w:val="none"/>
              </w:rPr>
              <w:t>时</w:t>
            </w:r>
            <w:r>
              <w:rPr>
                <w:rFonts w:hint="eastAsia" w:ascii="宋体" w:hAnsi="宋体" w:eastAsia="宋体" w:cs="宋体"/>
                <w:b/>
                <w:bCs/>
                <w:color w:val="auto"/>
                <w:sz w:val="21"/>
                <w:szCs w:val="21"/>
                <w:highlight w:val="none"/>
                <w:lang w:eastAsia="zh-CN"/>
              </w:rPr>
              <w:t>3</w:t>
            </w:r>
            <w:r>
              <w:rPr>
                <w:rFonts w:hint="eastAsia" w:ascii="宋体" w:hAnsi="宋体" w:eastAsia="宋体" w:cs="宋体"/>
                <w:b/>
                <w:bCs/>
                <w:color w:val="auto"/>
                <w:sz w:val="21"/>
                <w:szCs w:val="21"/>
                <w:highlight w:val="none"/>
                <w:lang w:val="en-US" w:eastAsia="zh-CN"/>
              </w:rPr>
              <w:t>0</w:t>
            </w:r>
            <w:r>
              <w:rPr>
                <w:rFonts w:hint="eastAsia" w:ascii="宋体" w:hAnsi="宋体" w:eastAsia="宋体" w:cs="宋体"/>
                <w:b/>
                <w:bCs/>
                <w:color w:val="auto"/>
                <w:sz w:val="21"/>
                <w:szCs w:val="21"/>
                <w:highlight w:val="none"/>
              </w:rPr>
              <w:t>分（北京时间）</w:t>
            </w:r>
          </w:p>
          <w:p w14:paraId="7E38289E">
            <w:pPr>
              <w:keepNext w:val="0"/>
              <w:keepLines w:val="0"/>
              <w:pageBreakBefore w:val="0"/>
              <w:shd w:val="clear" w:color="auto" w:fill="auto"/>
              <w:kinsoku/>
              <w:wordWrap/>
              <w:overflowPunct/>
              <w:topLinePunct w:val="0"/>
              <w:autoSpaceDE/>
              <w:autoSpaceDN/>
              <w:bidi w:val="0"/>
              <w:adjustRightInd/>
              <w:snapToGrid w:val="0"/>
              <w:spacing w:line="290" w:lineRule="exact"/>
              <w:ind w:firstLine="18" w:firstLineChars="9"/>
              <w:textAlignment w:val="auto"/>
              <w:outlineLvl w:val="9"/>
              <w:rPr>
                <w:rFonts w:hint="eastAsia" w:ascii="仿宋" w:hAnsi="仿宋" w:eastAsia="仿宋" w:cs="仿宋"/>
                <w:color w:val="auto"/>
                <w:sz w:val="28"/>
                <w:szCs w:val="28"/>
                <w:highlight w:val="none"/>
              </w:rPr>
            </w:pPr>
            <w:r>
              <w:rPr>
                <w:rFonts w:hint="eastAsia" w:ascii="宋体" w:hAnsi="宋体" w:eastAsia="宋体" w:cs="宋体"/>
                <w:b/>
                <w:bCs/>
                <w:color w:val="auto"/>
                <w:sz w:val="21"/>
                <w:szCs w:val="21"/>
                <w:highlight w:val="none"/>
                <w:lang w:eastAsia="zh-CN"/>
              </w:rPr>
              <w:t>投标</w:t>
            </w:r>
            <w:r>
              <w:rPr>
                <w:rFonts w:hint="eastAsia" w:ascii="宋体" w:hAnsi="宋体" w:eastAsia="宋体" w:cs="宋体"/>
                <w:b/>
                <w:bCs/>
                <w:color w:val="auto"/>
                <w:sz w:val="21"/>
                <w:szCs w:val="21"/>
                <w:highlight w:val="none"/>
              </w:rPr>
              <w:t>地点：</w:t>
            </w:r>
            <w:r>
              <w:rPr>
                <w:rFonts w:hint="eastAsia" w:ascii="宋体" w:hAnsi="宋体" w:eastAsia="宋体" w:cs="宋体"/>
                <w:b/>
                <w:bCs/>
                <w:color w:val="auto"/>
                <w:sz w:val="21"/>
                <w:szCs w:val="21"/>
                <w:highlight w:val="none"/>
                <w:lang w:eastAsia="zh-CN"/>
              </w:rPr>
              <w:t>新疆</w:t>
            </w:r>
            <w:r>
              <w:rPr>
                <w:rFonts w:hint="eastAsia" w:ascii="宋体" w:hAnsi="宋体" w:eastAsia="宋体" w:cs="宋体"/>
                <w:b/>
                <w:bCs/>
                <w:color w:val="auto"/>
                <w:sz w:val="21"/>
                <w:szCs w:val="21"/>
                <w:highlight w:val="none"/>
              </w:rPr>
              <w:t>政府采购云平台（www.zcygov.cn</w:t>
            </w:r>
            <w:r>
              <w:rPr>
                <w:rFonts w:hint="eastAsia" w:ascii="宋体" w:hAnsi="宋体" w:eastAsia="宋体" w:cs="宋体"/>
                <w:b/>
                <w:bCs/>
                <w:color w:val="auto"/>
                <w:sz w:val="21"/>
                <w:szCs w:val="21"/>
                <w:highlight w:val="none"/>
                <w:lang w:val="en-US" w:eastAsia="zh-CN"/>
              </w:rPr>
              <w:t>）政采云线上平台，逾期上传的响应文件将被拒收。</w:t>
            </w:r>
          </w:p>
        </w:tc>
      </w:tr>
      <w:tr w14:paraId="676C60B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trPr>
        <w:tc>
          <w:tcPr>
            <w:tcW w:w="795" w:type="dxa"/>
            <w:noWrap w:val="0"/>
            <w:vAlign w:val="center"/>
          </w:tcPr>
          <w:p w14:paraId="331C4B7A">
            <w:pPr>
              <w:pStyle w:val="9"/>
              <w:keepNext w:val="0"/>
              <w:keepLines w:val="0"/>
              <w:pageBreakBefore w:val="0"/>
              <w:shd w:val="clear" w:color="auto" w:fill="auto"/>
              <w:kinsoku/>
              <w:wordWrap/>
              <w:overflowPunct/>
              <w:topLinePunct w:val="0"/>
              <w:autoSpaceDE/>
              <w:autoSpaceDN/>
              <w:bidi w:val="0"/>
              <w:adjustRightInd/>
              <w:snapToGrid w:val="0"/>
              <w:spacing w:line="290" w:lineRule="exact"/>
              <w:ind w:left="-90" w:leftChars="-37" w:right="-110" w:rightChars="-45"/>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23</w:t>
            </w:r>
          </w:p>
        </w:tc>
        <w:tc>
          <w:tcPr>
            <w:tcW w:w="1708" w:type="dxa"/>
            <w:noWrap w:val="0"/>
            <w:vAlign w:val="center"/>
          </w:tcPr>
          <w:p w14:paraId="2BC84B92">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rPr>
              <w:t>开标时间及地点</w:t>
            </w:r>
          </w:p>
        </w:tc>
        <w:tc>
          <w:tcPr>
            <w:tcW w:w="8040" w:type="dxa"/>
            <w:noWrap w:val="0"/>
            <w:vAlign w:val="center"/>
          </w:tcPr>
          <w:p w14:paraId="5DBF395A">
            <w:pPr>
              <w:keepNext w:val="0"/>
              <w:keepLines w:val="0"/>
              <w:pageBreakBefore w:val="0"/>
              <w:shd w:val="clear" w:color="auto" w:fill="auto"/>
              <w:kinsoku/>
              <w:wordWrap/>
              <w:overflowPunct/>
              <w:topLinePunct w:val="0"/>
              <w:autoSpaceDE/>
              <w:autoSpaceDN/>
              <w:bidi w:val="0"/>
              <w:adjustRightInd/>
              <w:snapToGrid w:val="0"/>
              <w:spacing w:line="290" w:lineRule="exact"/>
              <w:ind w:firstLine="18" w:firstLineChars="9"/>
              <w:textAlignment w:val="auto"/>
              <w:outlineLvl w:val="9"/>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开标时间：同投标截止时间</w:t>
            </w:r>
          </w:p>
          <w:p w14:paraId="7507E5E0">
            <w:pPr>
              <w:keepNext w:val="0"/>
              <w:keepLines w:val="0"/>
              <w:pageBreakBefore w:val="0"/>
              <w:shd w:val="clear" w:color="auto" w:fill="auto"/>
              <w:kinsoku/>
              <w:wordWrap/>
              <w:overflowPunct/>
              <w:topLinePunct w:val="0"/>
              <w:autoSpaceDE/>
              <w:autoSpaceDN/>
              <w:bidi w:val="0"/>
              <w:adjustRightInd/>
              <w:snapToGrid w:val="0"/>
              <w:spacing w:line="290" w:lineRule="exact"/>
              <w:ind w:firstLine="18" w:firstLineChars="9"/>
              <w:textAlignment w:val="auto"/>
              <w:outlineLvl w:val="9"/>
              <w:rPr>
                <w:rFonts w:hint="eastAsia" w:ascii="仿宋" w:hAnsi="仿宋" w:eastAsia="仿宋" w:cs="仿宋"/>
                <w:color w:val="auto"/>
                <w:sz w:val="28"/>
                <w:szCs w:val="28"/>
                <w:highlight w:val="none"/>
              </w:rPr>
            </w:pPr>
            <w:r>
              <w:rPr>
                <w:rFonts w:hint="eastAsia" w:ascii="宋体" w:hAnsi="宋体" w:eastAsia="宋体" w:cs="宋体"/>
                <w:b/>
                <w:bCs/>
                <w:color w:val="auto"/>
                <w:sz w:val="21"/>
                <w:szCs w:val="21"/>
                <w:highlight w:val="none"/>
              </w:rPr>
              <w:t>开标地点：在</w:t>
            </w:r>
            <w:r>
              <w:rPr>
                <w:rFonts w:hint="eastAsia" w:ascii="宋体" w:hAnsi="宋体" w:eastAsia="宋体" w:cs="宋体"/>
                <w:b/>
                <w:bCs/>
                <w:color w:val="auto"/>
                <w:sz w:val="21"/>
                <w:szCs w:val="21"/>
                <w:highlight w:val="none"/>
                <w:lang w:eastAsia="zh-CN"/>
              </w:rPr>
              <w:t>新疆</w:t>
            </w:r>
            <w:r>
              <w:rPr>
                <w:rFonts w:hint="eastAsia" w:ascii="宋体" w:hAnsi="宋体" w:eastAsia="宋体" w:cs="宋体"/>
                <w:b/>
                <w:bCs/>
                <w:color w:val="auto"/>
                <w:sz w:val="21"/>
                <w:szCs w:val="21"/>
                <w:highlight w:val="none"/>
              </w:rPr>
              <w:t>政府采购云平台（www.zcygov.cn）上开启投标文件</w:t>
            </w:r>
          </w:p>
        </w:tc>
      </w:tr>
      <w:tr w14:paraId="6402C22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trPr>
        <w:tc>
          <w:tcPr>
            <w:tcW w:w="795" w:type="dxa"/>
            <w:noWrap w:val="0"/>
            <w:vAlign w:val="center"/>
          </w:tcPr>
          <w:p w14:paraId="79D79734">
            <w:pPr>
              <w:pStyle w:val="9"/>
              <w:keepNext w:val="0"/>
              <w:keepLines w:val="0"/>
              <w:pageBreakBefore w:val="0"/>
              <w:shd w:val="clear" w:color="auto" w:fill="auto"/>
              <w:kinsoku/>
              <w:wordWrap/>
              <w:overflowPunct/>
              <w:topLinePunct w:val="0"/>
              <w:autoSpaceDE/>
              <w:autoSpaceDN/>
              <w:bidi w:val="0"/>
              <w:adjustRightInd/>
              <w:snapToGrid w:val="0"/>
              <w:spacing w:line="290" w:lineRule="exact"/>
              <w:ind w:left="-90" w:leftChars="-37" w:right="-110" w:rightChars="-45"/>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24</w:t>
            </w:r>
          </w:p>
        </w:tc>
        <w:tc>
          <w:tcPr>
            <w:tcW w:w="1708" w:type="dxa"/>
            <w:noWrap w:val="0"/>
            <w:vAlign w:val="center"/>
          </w:tcPr>
          <w:p w14:paraId="3F2C4E5F">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评标委员会的组建</w:t>
            </w:r>
          </w:p>
        </w:tc>
        <w:tc>
          <w:tcPr>
            <w:tcW w:w="8040" w:type="dxa"/>
            <w:noWrap w:val="0"/>
            <w:vAlign w:val="top"/>
          </w:tcPr>
          <w:p w14:paraId="3AD03C97">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评标委员会由招标人依法组建，由采购人代表1人，评审专家2人，共3人组成。</w:t>
            </w:r>
          </w:p>
          <w:p w14:paraId="58FC3904">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评审专家确定方式：评审专家由招标人在开标前从政采云专家库中随机抽取。</w:t>
            </w:r>
          </w:p>
        </w:tc>
      </w:tr>
      <w:tr w14:paraId="4D7C84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trPr>
        <w:tc>
          <w:tcPr>
            <w:tcW w:w="795" w:type="dxa"/>
            <w:noWrap w:val="0"/>
            <w:vAlign w:val="center"/>
          </w:tcPr>
          <w:p w14:paraId="648C4CA0">
            <w:pPr>
              <w:pStyle w:val="9"/>
              <w:keepNext w:val="0"/>
              <w:keepLines w:val="0"/>
              <w:pageBreakBefore w:val="0"/>
              <w:shd w:val="clear" w:color="auto" w:fill="auto"/>
              <w:kinsoku/>
              <w:wordWrap/>
              <w:overflowPunct/>
              <w:topLinePunct w:val="0"/>
              <w:autoSpaceDE/>
              <w:autoSpaceDN/>
              <w:bidi w:val="0"/>
              <w:adjustRightInd/>
              <w:snapToGrid w:val="0"/>
              <w:spacing w:line="290" w:lineRule="exact"/>
              <w:ind w:left="-90" w:leftChars="-37" w:right="-110" w:rightChars="-45"/>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25</w:t>
            </w:r>
          </w:p>
        </w:tc>
        <w:tc>
          <w:tcPr>
            <w:tcW w:w="1708" w:type="dxa"/>
            <w:noWrap w:val="0"/>
            <w:vAlign w:val="center"/>
          </w:tcPr>
          <w:p w14:paraId="37626AF8">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是否授权评标委员会确定中标候选人</w:t>
            </w:r>
          </w:p>
        </w:tc>
        <w:tc>
          <w:tcPr>
            <w:tcW w:w="8040" w:type="dxa"/>
            <w:noWrap w:val="0"/>
            <w:vAlign w:val="center"/>
          </w:tcPr>
          <w:p w14:paraId="3A63181F">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是，评标委员会推荐3名中标（成交）候选人。</w:t>
            </w:r>
          </w:p>
        </w:tc>
      </w:tr>
      <w:tr w14:paraId="25672E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trPr>
        <w:tc>
          <w:tcPr>
            <w:tcW w:w="795" w:type="dxa"/>
            <w:noWrap w:val="0"/>
            <w:vAlign w:val="center"/>
          </w:tcPr>
          <w:p w14:paraId="791BFE09">
            <w:pPr>
              <w:keepNext w:val="0"/>
              <w:keepLines w:val="0"/>
              <w:pageBreakBefore w:val="0"/>
              <w:shd w:val="clear" w:color="auto" w:fill="auto"/>
              <w:kinsoku/>
              <w:wordWrap/>
              <w:overflowPunct/>
              <w:topLinePunct w:val="0"/>
              <w:autoSpaceDE/>
              <w:autoSpaceDN/>
              <w:bidi w:val="0"/>
              <w:adjustRightInd/>
              <w:snapToGrid w:val="0"/>
              <w:spacing w:line="290" w:lineRule="exact"/>
              <w:ind w:left="-90" w:leftChars="-37" w:right="-110" w:rightChars="-45"/>
              <w:jc w:val="center"/>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lang w:val="en-US" w:eastAsia="zh-CN"/>
              </w:rPr>
              <w:t>26</w:t>
            </w:r>
          </w:p>
        </w:tc>
        <w:tc>
          <w:tcPr>
            <w:tcW w:w="1708" w:type="dxa"/>
            <w:noWrap w:val="0"/>
            <w:vAlign w:val="center"/>
          </w:tcPr>
          <w:p w14:paraId="6865066C">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sz w:val="21"/>
                <w:szCs w:val="21"/>
                <w:highlight w:val="none"/>
                <w:lang w:val="en-US" w:eastAsia="zh-CN"/>
              </w:rPr>
              <w:t>中标候选人公示媒介</w:t>
            </w:r>
          </w:p>
        </w:tc>
        <w:tc>
          <w:tcPr>
            <w:tcW w:w="8040" w:type="dxa"/>
            <w:noWrap w:val="0"/>
            <w:vAlign w:val="center"/>
          </w:tcPr>
          <w:p w14:paraId="1F44E2F5">
            <w:pPr>
              <w:pStyle w:val="9"/>
              <w:keepNext w:val="0"/>
              <w:keepLines w:val="0"/>
              <w:pageBreakBefore w:val="0"/>
              <w:shd w:val="clear" w:color="auto" w:fill="auto"/>
              <w:kinsoku/>
              <w:wordWrap/>
              <w:overflowPunct/>
              <w:topLinePunct w:val="0"/>
              <w:autoSpaceDE/>
              <w:autoSpaceDN/>
              <w:bidi w:val="0"/>
              <w:adjustRightInd/>
              <w:snapToGrid w:val="0"/>
              <w:spacing w:line="290" w:lineRule="exact"/>
              <w:jc w:val="both"/>
              <w:textAlignment w:val="auto"/>
              <w:outlineLvl w:val="9"/>
              <w:rPr>
                <w:rFonts w:hint="eastAsia" w:ascii="仿宋" w:hAnsi="仿宋" w:eastAsia="仿宋" w:cs="仿宋"/>
                <w:color w:val="auto"/>
                <w:sz w:val="28"/>
                <w:szCs w:val="28"/>
                <w:highlight w:val="none"/>
                <w:lang w:val="en-US" w:eastAsia="zh-CN"/>
              </w:rPr>
            </w:pPr>
            <w:r>
              <w:rPr>
                <w:rFonts w:hint="eastAsia" w:ascii="宋体" w:hAnsi="宋体" w:eastAsia="宋体" w:cs="宋体"/>
                <w:color w:val="auto"/>
                <w:kern w:val="2"/>
                <w:sz w:val="21"/>
                <w:szCs w:val="21"/>
                <w:highlight w:val="none"/>
                <w:u w:val="none"/>
                <w:lang w:val="en-US" w:eastAsia="zh-CN" w:bidi="ar-SA"/>
              </w:rPr>
              <w:t>新疆政府采购网</w:t>
            </w:r>
            <w:r>
              <w:rPr>
                <w:rFonts w:hint="eastAsia" w:hAnsi="宋体" w:eastAsia="宋体" w:cs="宋体"/>
                <w:color w:val="auto"/>
                <w:kern w:val="2"/>
                <w:sz w:val="21"/>
                <w:szCs w:val="21"/>
                <w:highlight w:val="none"/>
                <w:u w:val="none"/>
                <w:lang w:val="en-US" w:eastAsia="zh-CN" w:bidi="ar-SA"/>
              </w:rPr>
              <w:t>、</w:t>
            </w:r>
            <w:r>
              <w:rPr>
                <w:rFonts w:hint="eastAsia" w:ascii="宋体" w:hAnsi="宋体" w:eastAsia="宋体" w:cs="宋体"/>
                <w:color w:val="auto"/>
                <w:kern w:val="2"/>
                <w:sz w:val="21"/>
                <w:szCs w:val="21"/>
                <w:highlight w:val="none"/>
                <w:u w:val="none"/>
                <w:lang w:val="en-US" w:eastAsia="zh-CN" w:bidi="ar-SA"/>
              </w:rPr>
              <w:t>克州公共资源交易网，公示期为一个工作日。</w:t>
            </w:r>
          </w:p>
        </w:tc>
      </w:tr>
      <w:tr w14:paraId="03D1535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450" w:hRule="atLeast"/>
        </w:trPr>
        <w:tc>
          <w:tcPr>
            <w:tcW w:w="795" w:type="dxa"/>
            <w:noWrap w:val="0"/>
            <w:vAlign w:val="center"/>
          </w:tcPr>
          <w:p w14:paraId="2A8CC525">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lang w:val="en-US" w:eastAsia="zh-CN"/>
              </w:rPr>
              <w:t>27</w:t>
            </w:r>
          </w:p>
        </w:tc>
        <w:tc>
          <w:tcPr>
            <w:tcW w:w="1708" w:type="dxa"/>
            <w:noWrap w:val="0"/>
            <w:vAlign w:val="center"/>
          </w:tcPr>
          <w:p w14:paraId="77CA27E0">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履约担保</w:t>
            </w:r>
          </w:p>
        </w:tc>
        <w:tc>
          <w:tcPr>
            <w:tcW w:w="8040" w:type="dxa"/>
            <w:noWrap w:val="0"/>
            <w:vAlign w:val="top"/>
          </w:tcPr>
          <w:p w14:paraId="6268816A">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中标供应商在合同签订后5个工作日内向采购人交纳不超过</w:t>
            </w:r>
            <w:r>
              <w:rPr>
                <w:rFonts w:hint="eastAsia" w:ascii="宋体" w:hAnsi="宋体" w:eastAsia="宋体" w:cs="宋体"/>
                <w:b w:val="0"/>
                <w:bCs w:val="0"/>
                <w:color w:val="auto"/>
                <w:sz w:val="21"/>
                <w:szCs w:val="21"/>
                <w:highlight w:val="none"/>
                <w:lang w:val="en-US" w:eastAsia="zh-CN"/>
              </w:rPr>
              <w:t>中标价10%的履约保</w:t>
            </w:r>
            <w:r>
              <w:rPr>
                <w:rFonts w:hint="eastAsia" w:ascii="宋体" w:hAnsi="宋体" w:eastAsia="宋体" w:cs="宋体"/>
                <w:color w:val="auto"/>
                <w:sz w:val="21"/>
                <w:szCs w:val="21"/>
                <w:highlight w:val="none"/>
                <w:lang w:val="en-US" w:eastAsia="zh-CN"/>
              </w:rPr>
              <w:t>证金（鼓励以银行、保险公司出具的履约保函形式提交；若以电汇、银行转账方式提交的，必须转到采购人的指定账户），如果中标供应商在建设期内没有涉及采购人的应付而未付金额或违约行为，采购人在项目验收合格后或提前终止合同后全额无息退还履约保证金。</w:t>
            </w:r>
          </w:p>
        </w:tc>
      </w:tr>
      <w:tr w14:paraId="21088E8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583" w:hRule="atLeast"/>
        </w:trPr>
        <w:tc>
          <w:tcPr>
            <w:tcW w:w="795" w:type="dxa"/>
            <w:noWrap w:val="0"/>
            <w:vAlign w:val="center"/>
          </w:tcPr>
          <w:p w14:paraId="5DE307E3">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auto"/>
                <w:sz w:val="21"/>
                <w:szCs w:val="21"/>
                <w:highlight w:val="none"/>
                <w:lang w:val="en-US" w:eastAsia="zh-CN"/>
              </w:rPr>
              <w:t>28</w:t>
            </w:r>
          </w:p>
        </w:tc>
        <w:tc>
          <w:tcPr>
            <w:tcW w:w="1708" w:type="dxa"/>
            <w:noWrap w:val="0"/>
            <w:vAlign w:val="center"/>
          </w:tcPr>
          <w:p w14:paraId="5C13201A">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谈判文件</w:t>
            </w:r>
            <w:r>
              <w:rPr>
                <w:rFonts w:hint="eastAsia" w:ascii="宋体" w:hAnsi="宋体" w:eastAsia="宋体" w:cs="宋体"/>
                <w:color w:val="auto"/>
                <w:sz w:val="21"/>
                <w:szCs w:val="21"/>
                <w:highlight w:val="none"/>
              </w:rPr>
              <w:t>领取</w:t>
            </w:r>
          </w:p>
        </w:tc>
        <w:tc>
          <w:tcPr>
            <w:tcW w:w="8040" w:type="dxa"/>
            <w:noWrap w:val="0"/>
            <w:vAlign w:val="top"/>
          </w:tcPr>
          <w:p w14:paraId="17D03252">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时间：202</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rPr>
              <w:t>日至202</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日，每天上午10:00至</w:t>
            </w:r>
            <w:r>
              <w:rPr>
                <w:rFonts w:hint="eastAsia" w:ascii="宋体" w:hAnsi="宋体" w:eastAsia="宋体" w:cs="宋体"/>
                <w:color w:val="auto"/>
                <w:sz w:val="21"/>
                <w:szCs w:val="21"/>
                <w:highlight w:val="none"/>
                <w:lang w:val="en-US" w:eastAsia="zh-CN"/>
              </w:rPr>
              <w:t>14</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00</w:t>
            </w:r>
            <w:r>
              <w:rPr>
                <w:rFonts w:hint="eastAsia" w:ascii="宋体" w:hAnsi="宋体" w:eastAsia="宋体" w:cs="宋体"/>
                <w:color w:val="auto"/>
                <w:sz w:val="21"/>
                <w:szCs w:val="21"/>
                <w:highlight w:val="none"/>
              </w:rPr>
              <w:t>，下午16:</w:t>
            </w:r>
            <w:r>
              <w:rPr>
                <w:rFonts w:hint="eastAsia" w:ascii="宋体" w:hAnsi="宋体" w:eastAsia="宋体" w:cs="宋体"/>
                <w:color w:val="auto"/>
                <w:sz w:val="21"/>
                <w:szCs w:val="21"/>
                <w:highlight w:val="none"/>
                <w:lang w:val="en-US" w:eastAsia="zh-CN"/>
              </w:rPr>
              <w:t>00</w:t>
            </w:r>
            <w:r>
              <w:rPr>
                <w:rFonts w:hint="eastAsia" w:ascii="宋体" w:hAnsi="宋体" w:eastAsia="宋体" w:cs="宋体"/>
                <w:color w:val="auto"/>
                <w:sz w:val="21"/>
                <w:szCs w:val="21"/>
                <w:highlight w:val="none"/>
              </w:rPr>
              <w:t>至</w:t>
            </w:r>
            <w:r>
              <w:rPr>
                <w:rFonts w:hint="eastAsia" w:ascii="宋体" w:hAnsi="宋体" w:eastAsia="宋体" w:cs="宋体"/>
                <w:color w:val="auto"/>
                <w:sz w:val="21"/>
                <w:szCs w:val="21"/>
                <w:highlight w:val="none"/>
                <w:lang w:val="en-US" w:eastAsia="zh-CN"/>
              </w:rPr>
              <w:t>19</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0（北京时间）</w:t>
            </w:r>
          </w:p>
          <w:p w14:paraId="2AA6E4C6">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地点：供应商登陆政采云平台http://www.zcygov.cn/，在线申请获取</w:t>
            </w:r>
            <w:r>
              <w:rPr>
                <w:rFonts w:hint="eastAsia" w:ascii="宋体" w:hAnsi="宋体" w:eastAsia="宋体" w:cs="宋体"/>
                <w:color w:val="auto"/>
                <w:sz w:val="21"/>
                <w:szCs w:val="21"/>
                <w:highlight w:val="none"/>
                <w:lang w:eastAsia="zh-CN"/>
              </w:rPr>
              <w:t>谈判文件</w:t>
            </w:r>
            <w:r>
              <w:rPr>
                <w:rFonts w:hint="eastAsia" w:ascii="宋体" w:hAnsi="宋体" w:eastAsia="宋体" w:cs="宋体"/>
                <w:color w:val="auto"/>
                <w:sz w:val="21"/>
                <w:szCs w:val="21"/>
                <w:highlight w:val="none"/>
              </w:rPr>
              <w:t>（登录政府采购云平台 → 项目采购 → 获取</w:t>
            </w:r>
            <w:r>
              <w:rPr>
                <w:rFonts w:hint="eastAsia" w:ascii="宋体" w:hAnsi="宋体" w:eastAsia="宋体" w:cs="宋体"/>
                <w:color w:val="auto"/>
                <w:sz w:val="21"/>
                <w:szCs w:val="21"/>
                <w:highlight w:val="none"/>
                <w:lang w:eastAsia="zh-CN"/>
              </w:rPr>
              <w:t>谈判文件</w:t>
            </w:r>
            <w:r>
              <w:rPr>
                <w:rFonts w:hint="eastAsia" w:ascii="宋体" w:hAnsi="宋体" w:eastAsia="宋体" w:cs="宋体"/>
                <w:color w:val="auto"/>
                <w:sz w:val="21"/>
                <w:szCs w:val="21"/>
                <w:highlight w:val="none"/>
              </w:rPr>
              <w:t>→申请，审核通过后可下载</w:t>
            </w:r>
            <w:r>
              <w:rPr>
                <w:rFonts w:hint="eastAsia" w:ascii="宋体" w:hAnsi="宋体" w:eastAsia="宋体" w:cs="宋体"/>
                <w:color w:val="auto"/>
                <w:sz w:val="21"/>
                <w:szCs w:val="21"/>
                <w:highlight w:val="none"/>
                <w:lang w:eastAsia="zh-CN"/>
              </w:rPr>
              <w:t>谈判文件</w:t>
            </w:r>
            <w:r>
              <w:rPr>
                <w:rFonts w:hint="eastAsia" w:ascii="宋体" w:hAnsi="宋体" w:eastAsia="宋体" w:cs="宋体"/>
                <w:color w:val="auto"/>
                <w:sz w:val="21"/>
                <w:szCs w:val="21"/>
                <w:highlight w:val="none"/>
              </w:rPr>
              <w:t>，如有操作性问题，可与政采云在线客服进行咨询，咨询电话：400-881-7190）。</w:t>
            </w:r>
          </w:p>
          <w:p w14:paraId="72ED082B">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方式：（1）线上获取（登录政府采购云平台 → 项目采购 → 获取</w:t>
            </w:r>
            <w:r>
              <w:rPr>
                <w:rFonts w:hint="eastAsia" w:ascii="宋体" w:hAnsi="宋体" w:eastAsia="宋体" w:cs="宋体"/>
                <w:color w:val="auto"/>
                <w:sz w:val="21"/>
                <w:szCs w:val="21"/>
                <w:highlight w:val="none"/>
                <w:lang w:eastAsia="zh-CN"/>
              </w:rPr>
              <w:t>谈判文件</w:t>
            </w:r>
            <w:r>
              <w:rPr>
                <w:rFonts w:hint="eastAsia" w:ascii="宋体" w:hAnsi="宋体" w:eastAsia="宋体" w:cs="宋体"/>
                <w:color w:val="auto"/>
                <w:sz w:val="21"/>
                <w:szCs w:val="21"/>
                <w:highlight w:val="none"/>
              </w:rPr>
              <w:t>→ 申请，审核通过后可下载</w:t>
            </w:r>
            <w:r>
              <w:rPr>
                <w:rFonts w:hint="eastAsia" w:ascii="宋体" w:hAnsi="宋体" w:eastAsia="宋体" w:cs="宋体"/>
                <w:color w:val="auto"/>
                <w:sz w:val="21"/>
                <w:szCs w:val="21"/>
                <w:highlight w:val="none"/>
                <w:lang w:eastAsia="zh-CN"/>
              </w:rPr>
              <w:t>谈判文件</w:t>
            </w:r>
            <w:r>
              <w:rPr>
                <w:rFonts w:hint="eastAsia" w:ascii="宋体" w:hAnsi="宋体" w:eastAsia="宋体" w:cs="宋体"/>
                <w:color w:val="auto"/>
                <w:sz w:val="21"/>
                <w:szCs w:val="21"/>
                <w:highlight w:val="none"/>
              </w:rPr>
              <w:t>）。本次招标不提供纸质版</w:t>
            </w:r>
            <w:r>
              <w:rPr>
                <w:rFonts w:hint="eastAsia" w:ascii="宋体" w:hAnsi="宋体" w:eastAsia="宋体" w:cs="宋体"/>
                <w:color w:val="auto"/>
                <w:sz w:val="21"/>
                <w:szCs w:val="21"/>
                <w:highlight w:val="none"/>
                <w:lang w:eastAsia="zh-CN"/>
              </w:rPr>
              <w:t>谈判文件</w:t>
            </w:r>
            <w:r>
              <w:rPr>
                <w:rFonts w:hint="eastAsia" w:ascii="宋体" w:hAnsi="宋体" w:eastAsia="宋体" w:cs="宋体"/>
                <w:color w:val="auto"/>
                <w:sz w:val="21"/>
                <w:szCs w:val="21"/>
                <w:highlight w:val="none"/>
              </w:rPr>
              <w:t>。</w:t>
            </w:r>
          </w:p>
          <w:p w14:paraId="5A8771D1">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（2）供应商获取</w:t>
            </w:r>
            <w:r>
              <w:rPr>
                <w:rFonts w:hint="eastAsia" w:ascii="宋体" w:hAnsi="宋体" w:eastAsia="宋体" w:cs="宋体"/>
                <w:color w:val="auto"/>
                <w:sz w:val="21"/>
                <w:szCs w:val="21"/>
                <w:highlight w:val="none"/>
                <w:lang w:eastAsia="zh-CN"/>
              </w:rPr>
              <w:t>谈判文件</w:t>
            </w:r>
            <w:r>
              <w:rPr>
                <w:rFonts w:hint="eastAsia" w:ascii="宋体" w:hAnsi="宋体" w:eastAsia="宋体" w:cs="宋体"/>
                <w:color w:val="auto"/>
                <w:sz w:val="21"/>
                <w:szCs w:val="21"/>
                <w:highlight w:val="none"/>
              </w:rPr>
              <w:t>前应注册成为政府采购云平台正式供应商。</w:t>
            </w:r>
          </w:p>
        </w:tc>
      </w:tr>
      <w:tr w14:paraId="1CFA4D1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795" w:type="dxa"/>
            <w:vMerge w:val="restart"/>
            <w:noWrap w:val="0"/>
            <w:vAlign w:val="center"/>
          </w:tcPr>
          <w:p w14:paraId="1441BE69">
            <w:pPr>
              <w:keepNext w:val="0"/>
              <w:keepLines w:val="0"/>
              <w:pageBreakBefore w:val="0"/>
              <w:shd w:val="clear" w:color="auto" w:fill="auto"/>
              <w:kinsoku/>
              <w:wordWrap/>
              <w:overflowPunct/>
              <w:topLinePunct w:val="0"/>
              <w:autoSpaceDE/>
              <w:autoSpaceDN/>
              <w:bidi w:val="0"/>
              <w:adjustRightInd/>
              <w:snapToGrid w:val="0"/>
              <w:spacing w:line="290" w:lineRule="exact"/>
              <w:jc w:val="left"/>
              <w:textAlignment w:val="auto"/>
              <w:outlineLvl w:val="9"/>
              <w:rPr>
                <w:rFonts w:hint="eastAsia" w:ascii="仿宋" w:hAnsi="仿宋" w:eastAsia="仿宋" w:cs="仿宋"/>
                <w:color w:val="auto"/>
                <w:sz w:val="28"/>
                <w:szCs w:val="28"/>
                <w:highlight w:val="none"/>
              </w:rPr>
            </w:pPr>
            <w:r>
              <w:rPr>
                <w:rFonts w:hint="eastAsia" w:ascii="宋体" w:hAnsi="宋体" w:eastAsia="宋体" w:cs="宋体"/>
                <w:color w:val="000000"/>
                <w:sz w:val="21"/>
                <w:szCs w:val="21"/>
                <w:highlight w:val="none"/>
                <w:lang w:val="en-US" w:eastAsia="zh-CN"/>
              </w:rPr>
              <w:t>29</w:t>
            </w:r>
          </w:p>
        </w:tc>
        <w:tc>
          <w:tcPr>
            <w:tcW w:w="1708" w:type="dxa"/>
            <w:vMerge w:val="restart"/>
            <w:noWrap w:val="0"/>
            <w:vAlign w:val="center"/>
          </w:tcPr>
          <w:p w14:paraId="090C8F2C">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宋体" w:hAnsi="宋体" w:eastAsia="宋体" w:cs="宋体"/>
                <w:b/>
                <w:color w:val="auto"/>
                <w:sz w:val="21"/>
                <w:szCs w:val="21"/>
                <w:highlight w:val="none"/>
              </w:rPr>
            </w:pPr>
            <w:r>
              <w:rPr>
                <w:rFonts w:hint="eastAsia" w:ascii="宋体" w:hAnsi="宋体" w:eastAsia="宋体" w:cs="宋体"/>
                <w:spacing w:val="-7"/>
                <w:sz w:val="21"/>
                <w:szCs w:val="21"/>
                <w:highlight w:val="none"/>
              </w:rPr>
              <w:t>中小微企业政策文件</w:t>
            </w:r>
          </w:p>
        </w:tc>
        <w:tc>
          <w:tcPr>
            <w:tcW w:w="8040" w:type="dxa"/>
            <w:noWrap w:val="0"/>
            <w:vAlign w:val="top"/>
          </w:tcPr>
          <w:p w14:paraId="56D0000E">
            <w:pPr>
              <w:keepNext w:val="0"/>
              <w:keepLines w:val="0"/>
              <w:pageBreakBefore w:val="0"/>
              <w:numPr>
                <w:ilvl w:val="0"/>
                <w:numId w:val="4"/>
              </w:numPr>
              <w:shd w:val="clear" w:color="auto" w:fill="auto"/>
              <w:kinsoku/>
              <w:wordWrap/>
              <w:overflowPunct/>
              <w:topLinePunct w:val="0"/>
              <w:autoSpaceDE/>
              <w:autoSpaceDN/>
              <w:bidi w:val="0"/>
              <w:adjustRightInd/>
              <w:snapToGrid w:val="0"/>
              <w:spacing w:line="290" w:lineRule="exact"/>
              <w:jc w:val="left"/>
              <w:textAlignment w:val="auto"/>
              <w:outlineLvl w:val="9"/>
              <w:rPr>
                <w:rFonts w:hint="eastAsia" w:ascii="宋体" w:hAnsi="宋体" w:eastAsia="宋体" w:cs="宋体"/>
                <w:spacing w:val="-20"/>
                <w:sz w:val="21"/>
                <w:szCs w:val="21"/>
                <w:highlight w:val="none"/>
                <w:lang w:eastAsia="zh-CN"/>
              </w:rPr>
            </w:pPr>
            <w:r>
              <w:rPr>
                <w:rFonts w:hint="eastAsia" w:ascii="宋体" w:hAnsi="宋体" w:eastAsia="宋体" w:cs="宋体"/>
                <w:spacing w:val="-1"/>
                <w:sz w:val="21"/>
                <w:szCs w:val="21"/>
                <w:highlight w:val="none"/>
              </w:rPr>
              <w:t>《政府采购促进中小企业发展管</w:t>
            </w:r>
            <w:r>
              <w:rPr>
                <w:rFonts w:hint="eastAsia" w:ascii="宋体" w:hAnsi="宋体" w:eastAsia="宋体" w:cs="宋体"/>
                <w:spacing w:val="-2"/>
                <w:sz w:val="21"/>
                <w:szCs w:val="21"/>
                <w:highlight w:val="none"/>
              </w:rPr>
              <w:t>理办法》（财库﹝2020﹞46号</w:t>
            </w:r>
            <w:r>
              <w:rPr>
                <w:rFonts w:hint="eastAsia" w:ascii="宋体" w:hAnsi="宋体" w:eastAsia="宋体" w:cs="宋体"/>
                <w:spacing w:val="-20"/>
                <w:sz w:val="21"/>
                <w:szCs w:val="21"/>
                <w:highlight w:val="none"/>
              </w:rPr>
              <w:t>）</w:t>
            </w:r>
            <w:r>
              <w:rPr>
                <w:rFonts w:hint="eastAsia" w:ascii="宋体" w:hAnsi="宋体" w:eastAsia="宋体" w:cs="宋体"/>
                <w:spacing w:val="-20"/>
                <w:sz w:val="21"/>
                <w:szCs w:val="21"/>
                <w:highlight w:val="none"/>
                <w:lang w:eastAsia="zh-CN"/>
              </w:rPr>
              <w:t>；</w:t>
            </w:r>
          </w:p>
          <w:p w14:paraId="5BE93127">
            <w:pPr>
              <w:keepNext w:val="0"/>
              <w:keepLines w:val="0"/>
              <w:pageBreakBefore w:val="0"/>
              <w:numPr>
                <w:ilvl w:val="0"/>
                <w:numId w:val="0"/>
              </w:numPr>
              <w:shd w:val="clear" w:color="auto" w:fill="auto"/>
              <w:kinsoku/>
              <w:wordWrap/>
              <w:overflowPunct/>
              <w:topLinePunct w:val="0"/>
              <w:autoSpaceDE/>
              <w:autoSpaceDN/>
              <w:bidi w:val="0"/>
              <w:adjustRightInd/>
              <w:snapToGrid w:val="0"/>
              <w:spacing w:line="290" w:lineRule="exact"/>
              <w:jc w:val="left"/>
              <w:textAlignment w:val="auto"/>
              <w:outlineLvl w:val="9"/>
              <w:rPr>
                <w:rFonts w:hint="eastAsia" w:ascii="宋体" w:hAnsi="宋体" w:eastAsia="宋体" w:cs="宋体"/>
                <w:spacing w:val="-54"/>
                <w:w w:val="84"/>
                <w:sz w:val="21"/>
                <w:szCs w:val="21"/>
                <w:highlight w:val="none"/>
                <w:lang w:eastAsia="zh-CN"/>
              </w:rPr>
            </w:pPr>
            <w:r>
              <w:rPr>
                <w:rFonts w:hint="eastAsia" w:ascii="宋体" w:hAnsi="宋体" w:eastAsia="宋体" w:cs="宋体"/>
                <w:spacing w:val="-2"/>
                <w:sz w:val="21"/>
                <w:szCs w:val="21"/>
                <w:highlight w:val="none"/>
                <w:lang w:eastAsia="zh-CN"/>
              </w:rPr>
              <w:t>（</w:t>
            </w:r>
            <w:r>
              <w:rPr>
                <w:rFonts w:hint="eastAsia" w:ascii="宋体" w:hAnsi="宋体" w:eastAsia="宋体" w:cs="宋体"/>
                <w:spacing w:val="-2"/>
                <w:sz w:val="21"/>
                <w:szCs w:val="21"/>
                <w:highlight w:val="none"/>
                <w:lang w:val="en-US" w:eastAsia="zh-CN"/>
              </w:rPr>
              <w:t>2</w:t>
            </w:r>
            <w:r>
              <w:rPr>
                <w:rFonts w:hint="eastAsia" w:ascii="宋体" w:hAnsi="宋体" w:eastAsia="宋体" w:cs="宋体"/>
                <w:spacing w:val="-2"/>
                <w:sz w:val="21"/>
                <w:szCs w:val="21"/>
                <w:highlight w:val="none"/>
                <w:lang w:eastAsia="zh-CN"/>
              </w:rPr>
              <w:t>）</w:t>
            </w:r>
            <w:r>
              <w:rPr>
                <w:rFonts w:hint="eastAsia" w:ascii="宋体" w:hAnsi="宋体" w:eastAsia="宋体" w:cs="宋体"/>
                <w:spacing w:val="-2"/>
                <w:sz w:val="21"/>
                <w:szCs w:val="21"/>
                <w:highlight w:val="none"/>
              </w:rPr>
              <w:t>《财政部、司法部关于政</w:t>
            </w:r>
            <w:r>
              <w:rPr>
                <w:rFonts w:hint="eastAsia" w:ascii="宋体" w:hAnsi="宋体" w:eastAsia="宋体" w:cs="宋体"/>
                <w:sz w:val="21"/>
                <w:szCs w:val="21"/>
                <w:highlight w:val="none"/>
              </w:rPr>
              <w:t xml:space="preserve"> </w:t>
            </w:r>
            <w:r>
              <w:rPr>
                <w:rFonts w:hint="eastAsia" w:ascii="宋体" w:hAnsi="宋体" w:eastAsia="宋体" w:cs="宋体"/>
                <w:spacing w:val="-6"/>
                <w:sz w:val="21"/>
                <w:szCs w:val="21"/>
                <w:highlight w:val="none"/>
              </w:rPr>
              <w:t>府采购支持监狱企业发展有关问题的通知》（财库</w:t>
            </w:r>
            <w:r>
              <w:rPr>
                <w:rFonts w:hint="eastAsia" w:ascii="宋体" w:hAnsi="宋体" w:eastAsia="宋体" w:cs="宋体"/>
                <w:spacing w:val="-7"/>
                <w:sz w:val="21"/>
                <w:szCs w:val="21"/>
                <w:highlight w:val="none"/>
              </w:rPr>
              <w:t>〔2014〕68</w:t>
            </w:r>
            <w:r>
              <w:rPr>
                <w:rFonts w:hint="eastAsia" w:ascii="宋体" w:hAnsi="宋体" w:eastAsia="宋体" w:cs="宋体"/>
                <w:spacing w:val="-42"/>
                <w:sz w:val="21"/>
                <w:szCs w:val="21"/>
                <w:highlight w:val="none"/>
              </w:rPr>
              <w:t xml:space="preserve"> </w:t>
            </w:r>
            <w:r>
              <w:rPr>
                <w:rFonts w:hint="eastAsia" w:ascii="宋体" w:hAnsi="宋体" w:eastAsia="宋体" w:cs="宋体"/>
                <w:spacing w:val="-7"/>
                <w:sz w:val="21"/>
                <w:szCs w:val="21"/>
                <w:highlight w:val="none"/>
              </w:rPr>
              <w:t>号</w:t>
            </w:r>
            <w:r>
              <w:rPr>
                <w:rFonts w:hint="eastAsia" w:ascii="宋体" w:hAnsi="宋体" w:eastAsia="宋体" w:cs="宋体"/>
                <w:spacing w:val="-54"/>
                <w:w w:val="84"/>
                <w:sz w:val="21"/>
                <w:szCs w:val="21"/>
                <w:highlight w:val="none"/>
              </w:rPr>
              <w:t>）</w:t>
            </w:r>
            <w:r>
              <w:rPr>
                <w:rFonts w:hint="eastAsia" w:ascii="宋体" w:hAnsi="宋体" w:eastAsia="宋体" w:cs="宋体"/>
                <w:spacing w:val="-54"/>
                <w:w w:val="84"/>
                <w:sz w:val="21"/>
                <w:szCs w:val="21"/>
                <w:highlight w:val="none"/>
                <w:lang w:eastAsia="zh-CN"/>
              </w:rPr>
              <w:t>；</w:t>
            </w:r>
          </w:p>
          <w:p w14:paraId="0E078EE1">
            <w:pPr>
              <w:keepNext w:val="0"/>
              <w:keepLines w:val="0"/>
              <w:pageBreakBefore w:val="0"/>
              <w:numPr>
                <w:ilvl w:val="0"/>
                <w:numId w:val="0"/>
              </w:numPr>
              <w:shd w:val="clear" w:color="auto" w:fill="auto"/>
              <w:kinsoku/>
              <w:wordWrap/>
              <w:overflowPunct/>
              <w:topLinePunct w:val="0"/>
              <w:autoSpaceDE/>
              <w:autoSpaceDN/>
              <w:bidi w:val="0"/>
              <w:adjustRightInd/>
              <w:snapToGrid w:val="0"/>
              <w:spacing w:line="290" w:lineRule="exact"/>
              <w:ind w:leftChars="0"/>
              <w:jc w:val="left"/>
              <w:textAlignment w:val="auto"/>
              <w:outlineLvl w:val="9"/>
              <w:rPr>
                <w:rFonts w:hint="eastAsia" w:ascii="宋体" w:hAnsi="宋体" w:eastAsia="宋体" w:cs="宋体"/>
                <w:spacing w:val="-1"/>
                <w:sz w:val="21"/>
                <w:szCs w:val="21"/>
                <w:highlight w:val="none"/>
              </w:rPr>
            </w:pPr>
            <w:r>
              <w:rPr>
                <w:rFonts w:hint="eastAsia" w:ascii="宋体" w:hAnsi="宋体" w:eastAsia="宋体" w:cs="宋体"/>
                <w:spacing w:val="-3"/>
                <w:sz w:val="21"/>
                <w:szCs w:val="21"/>
                <w:highlight w:val="none"/>
              </w:rPr>
              <w:t>（3）《财政部民政部中国残疾人联合会关于促进残疾人就业政</w:t>
            </w:r>
            <w:r>
              <w:rPr>
                <w:rFonts w:hint="eastAsia" w:ascii="宋体" w:hAnsi="宋体" w:eastAsia="宋体" w:cs="宋体"/>
                <w:spacing w:val="-1"/>
                <w:sz w:val="21"/>
                <w:szCs w:val="21"/>
                <w:highlight w:val="none"/>
              </w:rPr>
              <w:t>府采购政策的通知》财库〔2017〕141</w:t>
            </w:r>
            <w:r>
              <w:rPr>
                <w:rFonts w:hint="eastAsia" w:ascii="宋体" w:hAnsi="宋体" w:eastAsia="宋体" w:cs="宋体"/>
                <w:spacing w:val="-38"/>
                <w:sz w:val="21"/>
                <w:szCs w:val="21"/>
                <w:highlight w:val="none"/>
              </w:rPr>
              <w:t xml:space="preserve"> </w:t>
            </w:r>
            <w:r>
              <w:rPr>
                <w:rFonts w:hint="eastAsia" w:ascii="宋体" w:hAnsi="宋体" w:eastAsia="宋体" w:cs="宋体"/>
                <w:spacing w:val="-1"/>
                <w:sz w:val="21"/>
                <w:szCs w:val="21"/>
                <w:highlight w:val="none"/>
              </w:rPr>
              <w:t>号。</w:t>
            </w:r>
          </w:p>
          <w:p w14:paraId="530CC165">
            <w:pPr>
              <w:keepNext w:val="0"/>
              <w:keepLines w:val="0"/>
              <w:pageBreakBefore w:val="0"/>
              <w:shd w:val="clear" w:color="auto" w:fill="auto"/>
              <w:kinsoku/>
              <w:wordWrap/>
              <w:overflowPunct/>
              <w:topLinePunct w:val="0"/>
              <w:autoSpaceDE/>
              <w:autoSpaceDN/>
              <w:bidi w:val="0"/>
              <w:adjustRightInd/>
              <w:snapToGrid w:val="0"/>
              <w:spacing w:line="290" w:lineRule="exact"/>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spacing w:val="-1"/>
                <w:sz w:val="21"/>
                <w:szCs w:val="21"/>
                <w:highlight w:val="none"/>
              </w:rPr>
              <w:t>（注：1、如属于上述</w:t>
            </w:r>
            <w:r>
              <w:rPr>
                <w:rFonts w:hint="eastAsia" w:ascii="宋体" w:hAnsi="宋体" w:eastAsia="宋体" w:cs="宋体"/>
                <w:sz w:val="21"/>
                <w:szCs w:val="21"/>
                <w:highlight w:val="none"/>
              </w:rPr>
              <w:t>企业需按采购文件要求提供相关资料</w:t>
            </w:r>
            <w:r>
              <w:rPr>
                <w:rFonts w:hint="eastAsia" w:ascii="宋体" w:hAnsi="宋体" w:eastAsia="宋体" w:cs="宋体"/>
                <w:spacing w:val="-1"/>
                <w:sz w:val="21"/>
                <w:szCs w:val="21"/>
                <w:highlight w:val="none"/>
              </w:rPr>
              <w:t>）。</w:t>
            </w:r>
          </w:p>
        </w:tc>
      </w:tr>
      <w:tr w14:paraId="0E2294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795" w:type="dxa"/>
            <w:vMerge w:val="continue"/>
            <w:noWrap w:val="0"/>
            <w:vAlign w:val="center"/>
          </w:tcPr>
          <w:p w14:paraId="7FD0487A">
            <w:pPr>
              <w:keepNext w:val="0"/>
              <w:keepLines w:val="0"/>
              <w:pageBreakBefore w:val="0"/>
              <w:shd w:val="clear" w:color="auto" w:fill="auto"/>
              <w:kinsoku/>
              <w:wordWrap/>
              <w:overflowPunct/>
              <w:topLinePunct w:val="0"/>
              <w:autoSpaceDE/>
              <w:autoSpaceDN/>
              <w:bidi w:val="0"/>
              <w:adjustRightInd/>
              <w:snapToGrid w:val="0"/>
              <w:spacing w:line="290" w:lineRule="exact"/>
              <w:jc w:val="left"/>
              <w:textAlignment w:val="auto"/>
              <w:outlineLvl w:val="9"/>
              <w:rPr>
                <w:rFonts w:hint="eastAsia" w:ascii="仿宋" w:hAnsi="仿宋" w:eastAsia="仿宋" w:cs="仿宋"/>
                <w:b/>
                <w:color w:val="auto"/>
                <w:sz w:val="28"/>
                <w:szCs w:val="28"/>
                <w:highlight w:val="none"/>
              </w:rPr>
            </w:pPr>
          </w:p>
        </w:tc>
        <w:tc>
          <w:tcPr>
            <w:tcW w:w="1708" w:type="dxa"/>
            <w:vMerge w:val="continue"/>
            <w:noWrap w:val="0"/>
            <w:vAlign w:val="center"/>
          </w:tcPr>
          <w:p w14:paraId="0E4B3E4C">
            <w:pPr>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rPr>
                <w:rFonts w:hint="eastAsia" w:ascii="宋体" w:hAnsi="宋体" w:eastAsia="宋体" w:cs="宋体"/>
                <w:b/>
                <w:color w:val="auto"/>
                <w:sz w:val="21"/>
                <w:szCs w:val="21"/>
                <w:highlight w:val="none"/>
              </w:rPr>
            </w:pPr>
          </w:p>
        </w:tc>
        <w:tc>
          <w:tcPr>
            <w:tcW w:w="8040" w:type="dxa"/>
            <w:noWrap w:val="0"/>
            <w:vAlign w:val="top"/>
          </w:tcPr>
          <w:p w14:paraId="36AB0A41">
            <w:pPr>
              <w:keepNext w:val="0"/>
              <w:keepLines w:val="0"/>
              <w:pageBreakBefore w:val="0"/>
              <w:shd w:val="clear" w:color="auto" w:fill="auto"/>
              <w:kinsoku/>
              <w:wordWrap/>
              <w:overflowPunct/>
              <w:topLinePunct w:val="0"/>
              <w:autoSpaceDE/>
              <w:autoSpaceDN/>
              <w:bidi w:val="0"/>
              <w:adjustRightInd/>
              <w:snapToGrid w:val="0"/>
              <w:spacing w:line="290" w:lineRule="exact"/>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spacing w:val="-1"/>
                <w:sz w:val="21"/>
                <w:szCs w:val="21"/>
                <w:highlight w:val="none"/>
                <w:lang w:val="en-US" w:eastAsia="zh-CN"/>
              </w:rPr>
              <w:t>本项目属于：</w:t>
            </w:r>
            <w:r>
              <w:rPr>
                <w:rFonts w:hint="eastAsia" w:ascii="宋体" w:hAnsi="宋体" w:eastAsia="宋体" w:cs="宋体"/>
                <w:color w:val="FF0000"/>
                <w:spacing w:val="-1"/>
                <w:sz w:val="21"/>
                <w:szCs w:val="21"/>
                <w:highlight w:val="none"/>
                <w:u w:val="single"/>
                <w:lang w:val="en-US" w:eastAsia="zh-CN"/>
              </w:rPr>
              <w:t>工业</w:t>
            </w:r>
            <w:r>
              <w:rPr>
                <w:rFonts w:hint="eastAsia" w:ascii="宋体" w:hAnsi="宋体" w:eastAsia="宋体" w:cs="宋体"/>
                <w:spacing w:val="-1"/>
                <w:sz w:val="21"/>
                <w:szCs w:val="21"/>
                <w:highlight w:val="none"/>
                <w:lang w:val="en-US" w:eastAsia="zh-CN"/>
              </w:rPr>
              <w:t>；项目专门面向中小企业采购，不再对中小微企业的价格进行扣除评审。须按照招标文件提供的《中小企业声明函》格式提供。</w:t>
            </w:r>
          </w:p>
        </w:tc>
      </w:tr>
      <w:tr w14:paraId="2DFB8C3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1" w:hRule="atLeast"/>
        </w:trPr>
        <w:tc>
          <w:tcPr>
            <w:tcW w:w="795" w:type="dxa"/>
            <w:tcBorders>
              <w:right w:val="single" w:color="auto" w:sz="4" w:space="0"/>
            </w:tcBorders>
            <w:noWrap w:val="0"/>
            <w:vAlign w:val="center"/>
          </w:tcPr>
          <w:p w14:paraId="744D3536">
            <w:pPr>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仿宋" w:hAnsi="仿宋" w:eastAsia="仿宋" w:cs="仿宋"/>
                <w:color w:val="auto"/>
                <w:kern w:val="2"/>
                <w:sz w:val="28"/>
                <w:szCs w:val="28"/>
                <w:highlight w:val="none"/>
                <w:lang w:val="en-US" w:eastAsia="zh-CN" w:bidi="ar-SA"/>
              </w:rPr>
            </w:pPr>
            <w:r>
              <w:rPr>
                <w:rFonts w:hint="eastAsia" w:ascii="宋体" w:hAnsi="宋体" w:eastAsia="宋体" w:cs="宋体"/>
                <w:b w:val="0"/>
                <w:bCs/>
                <w:color w:val="auto"/>
                <w:sz w:val="21"/>
                <w:szCs w:val="21"/>
                <w:highlight w:val="none"/>
                <w:lang w:val="en-US" w:eastAsia="zh-CN"/>
              </w:rPr>
              <w:t>30</w:t>
            </w:r>
          </w:p>
        </w:tc>
        <w:tc>
          <w:tcPr>
            <w:tcW w:w="9748" w:type="dxa"/>
            <w:gridSpan w:val="2"/>
            <w:tcBorders>
              <w:left w:val="single" w:color="auto" w:sz="4" w:space="0"/>
            </w:tcBorders>
            <w:noWrap w:val="0"/>
            <w:vAlign w:val="center"/>
          </w:tcPr>
          <w:p w14:paraId="6D838653">
            <w:pPr>
              <w:spacing w:line="240" w:lineRule="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注：</w:t>
            </w:r>
          </w:p>
          <w:p w14:paraId="75B3CB31">
            <w:pPr>
              <w:spacing w:line="240" w:lineRule="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1、招标的实质性要求和条件，着重提醒各投标人注意认真查看</w:t>
            </w:r>
            <w:r>
              <w:rPr>
                <w:rFonts w:hint="eastAsia" w:ascii="宋体" w:hAnsi="宋体" w:eastAsia="宋体" w:cs="宋体"/>
                <w:kern w:val="0"/>
                <w:sz w:val="21"/>
                <w:szCs w:val="21"/>
                <w:highlight w:val="none"/>
                <w:lang w:eastAsia="zh-CN"/>
              </w:rPr>
              <w:t>竞争性谈判文件</w:t>
            </w:r>
            <w:r>
              <w:rPr>
                <w:rFonts w:hint="eastAsia" w:ascii="宋体" w:hAnsi="宋体" w:eastAsia="宋体" w:cs="宋体"/>
                <w:kern w:val="0"/>
                <w:sz w:val="21"/>
                <w:szCs w:val="21"/>
                <w:highlight w:val="none"/>
              </w:rPr>
              <w:t>中的每一个条款及要求，因误读</w:t>
            </w:r>
            <w:r>
              <w:rPr>
                <w:rFonts w:hint="eastAsia" w:ascii="宋体" w:hAnsi="宋体" w:eastAsia="宋体" w:cs="宋体"/>
                <w:kern w:val="0"/>
                <w:sz w:val="21"/>
                <w:szCs w:val="21"/>
                <w:highlight w:val="none"/>
                <w:lang w:eastAsia="zh-CN"/>
              </w:rPr>
              <w:t>竞争性谈判文件</w:t>
            </w:r>
            <w:r>
              <w:rPr>
                <w:rFonts w:hint="eastAsia" w:ascii="宋体" w:hAnsi="宋体" w:eastAsia="宋体" w:cs="宋体"/>
                <w:kern w:val="0"/>
                <w:sz w:val="21"/>
                <w:szCs w:val="21"/>
                <w:highlight w:val="none"/>
              </w:rPr>
              <w:t>而造成的后果，招标人概不负责。</w:t>
            </w:r>
          </w:p>
          <w:p w14:paraId="2F5154B2">
            <w:pPr>
              <w:spacing w:line="240" w:lineRule="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2</w:t>
            </w:r>
            <w:r>
              <w:rPr>
                <w:rFonts w:hint="eastAsia" w:ascii="宋体" w:hAnsi="宋体" w:eastAsia="宋体" w:cs="宋体"/>
                <w:kern w:val="0"/>
                <w:sz w:val="21"/>
                <w:szCs w:val="21"/>
                <w:highlight w:val="none"/>
              </w:rPr>
              <w:t>、除法律、法规和规章规定外，竞争性</w:t>
            </w:r>
            <w:r>
              <w:rPr>
                <w:rFonts w:hint="eastAsia" w:ascii="宋体" w:hAnsi="宋体" w:eastAsia="宋体" w:cs="宋体"/>
                <w:kern w:val="0"/>
                <w:sz w:val="21"/>
                <w:szCs w:val="21"/>
                <w:highlight w:val="none"/>
                <w:lang w:eastAsia="zh-CN"/>
              </w:rPr>
              <w:t>谈判</w:t>
            </w:r>
            <w:r>
              <w:rPr>
                <w:rFonts w:hint="eastAsia" w:ascii="宋体" w:hAnsi="宋体" w:eastAsia="宋体" w:cs="宋体"/>
                <w:kern w:val="0"/>
                <w:sz w:val="21"/>
                <w:szCs w:val="21"/>
                <w:highlight w:val="none"/>
              </w:rPr>
              <w:t>文件中用“拒绝”、“不接受”、“无效”、“不得”等文字规定，对其中任何一条的偏离，在评审时将其视为无效文件。未用上述文字规定或符号标注的条款为非实质性要求条款(即一般条款)。</w:t>
            </w:r>
          </w:p>
          <w:p w14:paraId="69917EF2">
            <w:pPr>
              <w:keepNext w:val="0"/>
              <w:keepLines w:val="0"/>
              <w:pageBreakBefore w:val="0"/>
              <w:shd w:val="clear" w:color="auto" w:fill="auto"/>
              <w:kinsoku/>
              <w:wordWrap/>
              <w:overflowPunct/>
              <w:topLinePunct w:val="0"/>
              <w:autoSpaceDE/>
              <w:autoSpaceDN/>
              <w:bidi w:val="0"/>
              <w:adjustRightInd/>
              <w:snapToGrid w:val="0"/>
              <w:spacing w:line="240" w:lineRule="auto"/>
              <w:jc w:val="left"/>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响应文件中的报价为一次报价，各投标单位进行二次报价（</w:t>
            </w:r>
            <w:r>
              <w:rPr>
                <w:rFonts w:hint="eastAsia" w:ascii="宋体" w:hAnsi="宋体" w:eastAsia="宋体" w:cs="宋体"/>
                <w:color w:val="auto"/>
                <w:kern w:val="0"/>
                <w:sz w:val="21"/>
                <w:szCs w:val="21"/>
                <w:highlight w:val="none"/>
                <w:lang w:eastAsia="zh-CN"/>
              </w:rPr>
              <w:t>谈判</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均</w:t>
            </w:r>
            <w:r>
              <w:rPr>
                <w:rFonts w:hint="eastAsia" w:ascii="宋体" w:hAnsi="宋体" w:eastAsia="宋体" w:cs="宋体"/>
                <w:color w:val="auto"/>
                <w:kern w:val="0"/>
                <w:sz w:val="21"/>
                <w:szCs w:val="21"/>
                <w:highlight w:val="none"/>
              </w:rPr>
              <w:t>不得高于</w:t>
            </w:r>
            <w:r>
              <w:rPr>
                <w:rFonts w:hint="eastAsia" w:ascii="宋体" w:hAnsi="宋体" w:eastAsia="宋体" w:cs="宋体"/>
                <w:color w:val="auto"/>
                <w:kern w:val="0"/>
                <w:sz w:val="21"/>
                <w:szCs w:val="21"/>
                <w:highlight w:val="none"/>
                <w:lang w:val="en-US" w:eastAsia="zh-CN"/>
              </w:rPr>
              <w:t>最高限价</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投标报价</w:t>
            </w:r>
            <w:r>
              <w:rPr>
                <w:rFonts w:hint="eastAsia" w:ascii="宋体" w:hAnsi="宋体" w:eastAsia="宋体" w:cs="宋体"/>
                <w:color w:val="auto"/>
                <w:sz w:val="21"/>
                <w:szCs w:val="21"/>
                <w:highlight w:val="none"/>
              </w:rPr>
              <w:t>以最终</w:t>
            </w:r>
            <w:r>
              <w:rPr>
                <w:rFonts w:hint="eastAsia" w:ascii="宋体" w:hAnsi="宋体" w:eastAsia="宋体" w:cs="宋体"/>
                <w:color w:val="auto"/>
                <w:sz w:val="21"/>
                <w:szCs w:val="21"/>
                <w:highlight w:val="none"/>
                <w:lang w:eastAsia="zh-CN"/>
              </w:rPr>
              <w:t>谈判</w:t>
            </w:r>
            <w:r>
              <w:rPr>
                <w:rFonts w:hint="eastAsia" w:ascii="宋体" w:hAnsi="宋体" w:eastAsia="宋体" w:cs="宋体"/>
                <w:color w:val="auto"/>
                <w:sz w:val="21"/>
                <w:szCs w:val="21"/>
                <w:highlight w:val="none"/>
              </w:rPr>
              <w:t>报价作为评审价</w:t>
            </w:r>
            <w:r>
              <w:rPr>
                <w:rFonts w:hint="eastAsia" w:ascii="宋体" w:hAnsi="宋体" w:eastAsia="宋体" w:cs="宋体"/>
                <w:color w:val="auto"/>
                <w:sz w:val="21"/>
                <w:szCs w:val="21"/>
                <w:highlight w:val="none"/>
                <w:lang w:val="en-US" w:eastAsia="zh-CN"/>
              </w:rPr>
              <w:t>。</w:t>
            </w:r>
          </w:p>
          <w:p w14:paraId="6A655092">
            <w:pPr>
              <w:keepNext w:val="0"/>
              <w:keepLines w:val="0"/>
              <w:pageBreakBefore w:val="0"/>
              <w:shd w:val="clear" w:color="auto" w:fill="auto"/>
              <w:kinsoku/>
              <w:wordWrap/>
              <w:overflowPunct/>
              <w:topLinePunct w:val="0"/>
              <w:autoSpaceDE/>
              <w:autoSpaceDN/>
              <w:bidi w:val="0"/>
              <w:adjustRightInd/>
              <w:snapToGrid w:val="0"/>
              <w:spacing w:line="240" w:lineRule="auto"/>
              <w:jc w:val="left"/>
              <w:textAlignment w:val="auto"/>
              <w:outlineLvl w:val="9"/>
              <w:rPr>
                <w:rFonts w:hint="eastAsia" w:ascii="宋体" w:hAnsi="宋体" w:eastAsia="宋体" w:cs="宋体"/>
                <w:b w:val="0"/>
                <w:bCs w:val="0"/>
                <w:color w:val="auto"/>
                <w:kern w:val="2"/>
                <w:sz w:val="21"/>
                <w:szCs w:val="21"/>
                <w:highlight w:val="none"/>
                <w:u w:val="none"/>
                <w:lang w:val="en-US" w:eastAsia="zh-CN" w:bidi="ar-SA"/>
              </w:rPr>
            </w:pPr>
            <w:r>
              <w:rPr>
                <w:rFonts w:hint="eastAsia" w:ascii="宋体" w:hAnsi="宋体" w:eastAsia="宋体" w:cs="宋体"/>
                <w:b w:val="0"/>
                <w:bCs w:val="0"/>
                <w:color w:val="auto"/>
                <w:kern w:val="2"/>
                <w:sz w:val="21"/>
                <w:szCs w:val="21"/>
                <w:highlight w:val="none"/>
                <w:u w:val="none"/>
                <w:lang w:val="en-US" w:eastAsia="zh-CN" w:bidi="ar-SA"/>
              </w:rPr>
              <w:t>4、招标文件中如出现前后不一致情况，均以前附表内容为准</w:t>
            </w:r>
          </w:p>
          <w:p w14:paraId="22E0D71C">
            <w:pPr>
              <w:keepNext w:val="0"/>
              <w:keepLines w:val="0"/>
              <w:pageBreakBefore w:val="0"/>
              <w:shd w:val="clear" w:color="auto" w:fill="auto"/>
              <w:kinsoku/>
              <w:wordWrap/>
              <w:overflowPunct/>
              <w:topLinePunct w:val="0"/>
              <w:autoSpaceDE/>
              <w:autoSpaceDN/>
              <w:bidi w:val="0"/>
              <w:adjustRightInd/>
              <w:snapToGrid w:val="0"/>
              <w:spacing w:line="240" w:lineRule="auto"/>
              <w:jc w:val="left"/>
              <w:textAlignment w:val="auto"/>
              <w:outlineLvl w:val="9"/>
              <w:rPr>
                <w:rFonts w:hint="eastAsia" w:ascii="仿宋" w:hAnsi="仿宋" w:eastAsia="仿宋" w:cs="仿宋"/>
                <w:color w:val="auto"/>
                <w:sz w:val="28"/>
                <w:szCs w:val="28"/>
                <w:lang w:val="en-US" w:eastAsia="zh-CN"/>
              </w:rPr>
            </w:pPr>
          </w:p>
        </w:tc>
      </w:tr>
      <w:tr w14:paraId="6288D6B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1" w:hRule="atLeast"/>
        </w:trPr>
        <w:tc>
          <w:tcPr>
            <w:tcW w:w="10543" w:type="dxa"/>
            <w:gridSpan w:val="3"/>
            <w:tcBorders>
              <w:right w:val="single" w:color="auto" w:sz="4" w:space="0"/>
            </w:tcBorders>
            <w:noWrap w:val="0"/>
            <w:vAlign w:val="center"/>
          </w:tcPr>
          <w:p w14:paraId="71C6985E">
            <w:pPr>
              <w:keepNext w:val="0"/>
              <w:keepLines w:val="0"/>
              <w:pageBreakBefore w:val="0"/>
              <w:shd w:val="clear" w:color="auto" w:fill="auto"/>
              <w:kinsoku/>
              <w:wordWrap/>
              <w:overflowPunct/>
              <w:topLinePunct w:val="0"/>
              <w:autoSpaceDE/>
              <w:autoSpaceDN/>
              <w:bidi w:val="0"/>
              <w:adjustRightInd/>
              <w:snapToGrid w:val="0"/>
              <w:spacing w:line="290" w:lineRule="exact"/>
              <w:jc w:val="left"/>
              <w:textAlignment w:val="auto"/>
              <w:outlineLvl w:val="9"/>
              <w:rPr>
                <w:rFonts w:hint="eastAsia" w:ascii="仿宋" w:hAnsi="仿宋" w:eastAsia="仿宋" w:cs="仿宋"/>
                <w:color w:val="auto"/>
                <w:sz w:val="28"/>
                <w:szCs w:val="28"/>
                <w:lang w:val="en-US" w:eastAsia="zh-CN"/>
              </w:rPr>
            </w:pPr>
            <w:r>
              <w:rPr>
                <w:rFonts w:hint="eastAsia" w:ascii="宋体" w:hAnsi="宋体" w:eastAsia="宋体" w:cs="宋体"/>
                <w:b/>
                <w:bCs w:val="0"/>
                <w:color w:val="auto"/>
                <w:sz w:val="21"/>
                <w:szCs w:val="21"/>
                <w:highlight w:val="none"/>
              </w:rPr>
              <w:t>备注</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rPr>
              <w:t>投标人使用相同IP地址的，一经发现，</w:t>
            </w:r>
            <w:r>
              <w:rPr>
                <w:rFonts w:hint="eastAsia" w:ascii="宋体" w:hAnsi="宋体" w:eastAsia="宋体" w:cs="宋体"/>
                <w:b/>
                <w:bCs w:val="0"/>
                <w:color w:val="auto"/>
                <w:sz w:val="21"/>
                <w:szCs w:val="21"/>
                <w:highlight w:val="none"/>
                <w:lang w:eastAsia="zh-CN"/>
              </w:rPr>
              <w:t>相关</w:t>
            </w:r>
            <w:r>
              <w:rPr>
                <w:rFonts w:hint="eastAsia" w:ascii="宋体" w:hAnsi="宋体" w:eastAsia="宋体" w:cs="宋体"/>
                <w:b/>
                <w:bCs w:val="0"/>
                <w:color w:val="auto"/>
                <w:sz w:val="21"/>
                <w:szCs w:val="21"/>
                <w:highlight w:val="none"/>
              </w:rPr>
              <w:t>部门将进一步核实，查实后按串通投标处理</w:t>
            </w:r>
            <w:r>
              <w:rPr>
                <w:rFonts w:hint="eastAsia" w:ascii="宋体" w:hAnsi="宋体" w:eastAsia="宋体" w:cs="宋体"/>
                <w:b/>
                <w:bCs w:val="0"/>
                <w:color w:val="auto"/>
                <w:sz w:val="21"/>
                <w:szCs w:val="21"/>
                <w:highlight w:val="none"/>
                <w:lang w:eastAsia="zh-CN"/>
              </w:rPr>
              <w:t>。</w:t>
            </w:r>
          </w:p>
        </w:tc>
      </w:tr>
      <w:tr w14:paraId="40F471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795" w:type="dxa"/>
            <w:noWrap w:val="0"/>
            <w:vAlign w:val="center"/>
          </w:tcPr>
          <w:p w14:paraId="5E586EEA">
            <w:pPr>
              <w:pStyle w:val="9"/>
              <w:keepNext w:val="0"/>
              <w:keepLines w:val="0"/>
              <w:pageBreakBefore w:val="0"/>
              <w:shd w:val="clear" w:color="auto" w:fill="auto"/>
              <w:kinsoku/>
              <w:wordWrap/>
              <w:overflowPunct/>
              <w:topLinePunct w:val="0"/>
              <w:autoSpaceDE/>
              <w:autoSpaceDN/>
              <w:bidi w:val="0"/>
              <w:adjustRightInd/>
              <w:snapToGrid w:val="0"/>
              <w:spacing w:line="290" w:lineRule="exact"/>
              <w:ind w:left="-110" w:leftChars="-45" w:right="-95" w:rightChars="-39"/>
              <w:jc w:val="center"/>
              <w:textAlignment w:val="auto"/>
              <w:outlineLvl w:val="9"/>
              <w:rPr>
                <w:rFonts w:hint="eastAsia" w:ascii="仿宋" w:hAnsi="仿宋" w:eastAsia="仿宋" w:cs="仿宋"/>
                <w:b/>
                <w:color w:val="auto"/>
                <w:kern w:val="2"/>
                <w:sz w:val="28"/>
                <w:szCs w:val="28"/>
                <w:highlight w:val="none"/>
                <w:lang w:val="en-US" w:eastAsia="zh-CN" w:bidi="ar-SA"/>
              </w:rPr>
            </w:pPr>
            <w:r>
              <w:rPr>
                <w:rFonts w:hint="eastAsia" w:ascii="宋体" w:hAnsi="宋体" w:eastAsia="宋体" w:cs="宋体"/>
                <w:b/>
                <w:color w:val="auto"/>
                <w:sz w:val="21"/>
                <w:szCs w:val="21"/>
                <w:highlight w:val="none"/>
                <w:lang w:val="en-US" w:eastAsia="zh-CN"/>
              </w:rPr>
              <w:t>条款号</w:t>
            </w:r>
          </w:p>
        </w:tc>
        <w:tc>
          <w:tcPr>
            <w:tcW w:w="1708" w:type="dxa"/>
            <w:noWrap w:val="0"/>
            <w:vAlign w:val="center"/>
          </w:tcPr>
          <w:p w14:paraId="7451A12D">
            <w:pPr>
              <w:pStyle w:val="9"/>
              <w:keepNext w:val="0"/>
              <w:keepLines w:val="0"/>
              <w:pageBreakBefore w:val="0"/>
              <w:shd w:val="clear" w:color="auto" w:fill="auto"/>
              <w:kinsoku/>
              <w:wordWrap/>
              <w:overflowPunct/>
              <w:topLinePunct w:val="0"/>
              <w:autoSpaceDE/>
              <w:autoSpaceDN/>
              <w:bidi w:val="0"/>
              <w:adjustRightInd/>
              <w:snapToGrid w:val="0"/>
              <w:spacing w:line="290" w:lineRule="exact"/>
              <w:jc w:val="center"/>
              <w:textAlignment w:val="auto"/>
              <w:outlineLvl w:val="9"/>
            </w:pPr>
            <w:r>
              <w:rPr>
                <w:rFonts w:hint="eastAsia" w:ascii="宋体" w:hAnsi="宋体" w:eastAsia="宋体" w:cs="宋体"/>
                <w:b/>
                <w:color w:val="auto"/>
                <w:sz w:val="21"/>
                <w:szCs w:val="21"/>
                <w:highlight w:val="none"/>
                <w:lang w:val="en-US" w:eastAsia="zh-CN"/>
              </w:rPr>
              <w:t>内容</w:t>
            </w:r>
          </w:p>
        </w:tc>
        <w:tc>
          <w:tcPr>
            <w:tcW w:w="8040" w:type="dxa"/>
            <w:noWrap w:val="0"/>
            <w:vAlign w:val="center"/>
          </w:tcPr>
          <w:p w14:paraId="2CBA583A">
            <w:pPr>
              <w:pStyle w:val="9"/>
              <w:keepNext w:val="0"/>
              <w:keepLines w:val="0"/>
              <w:pageBreakBefore w:val="0"/>
              <w:shd w:val="clear" w:color="auto" w:fill="auto"/>
              <w:kinsoku/>
              <w:wordWrap/>
              <w:overflowPunct/>
              <w:topLinePunct w:val="0"/>
              <w:autoSpaceDE/>
              <w:autoSpaceDN/>
              <w:bidi w:val="0"/>
              <w:adjustRightInd/>
              <w:snapToGrid w:val="0"/>
              <w:spacing w:line="290" w:lineRule="exact"/>
              <w:ind w:firstLine="2150" w:firstLineChars="1000"/>
              <w:jc w:val="both"/>
              <w:textAlignment w:val="auto"/>
              <w:outlineLvl w:val="9"/>
              <w:rPr>
                <w:rFonts w:hint="eastAsia" w:ascii="仿宋" w:hAnsi="仿宋" w:eastAsia="仿宋" w:cs="仿宋"/>
                <w:color w:val="auto"/>
                <w:kern w:val="2"/>
                <w:sz w:val="28"/>
                <w:szCs w:val="28"/>
                <w:highlight w:val="none"/>
                <w:lang w:val="en-US" w:eastAsia="zh-CN" w:bidi="ar-SA"/>
              </w:rPr>
            </w:pPr>
            <w:r>
              <w:rPr>
                <w:rFonts w:hint="eastAsia" w:ascii="宋体" w:hAnsi="宋体" w:eastAsia="宋体" w:cs="宋体"/>
                <w:b/>
                <w:color w:val="auto"/>
                <w:sz w:val="21"/>
                <w:szCs w:val="21"/>
                <w:highlight w:val="none"/>
                <w:lang w:val="en-US" w:eastAsia="zh-CN"/>
              </w:rPr>
              <w:t>说明与要求</w:t>
            </w:r>
          </w:p>
        </w:tc>
      </w:tr>
    </w:tbl>
    <w:p w14:paraId="76C79113">
      <w:pPr>
        <w:pStyle w:val="4"/>
        <w:jc w:val="both"/>
        <w:rPr>
          <w:rFonts w:hint="eastAsia" w:ascii="仿宋" w:hAnsi="仿宋" w:eastAsia="仿宋" w:cs="仿宋"/>
          <w:color w:val="auto"/>
          <w:sz w:val="28"/>
          <w:szCs w:val="28"/>
        </w:rPr>
      </w:pPr>
    </w:p>
    <w:p w14:paraId="2B14F766">
      <w:pPr>
        <w:pStyle w:val="4"/>
        <w:rPr>
          <w:rFonts w:hint="eastAsia" w:ascii="仿宋" w:hAnsi="仿宋" w:eastAsia="仿宋" w:cs="仿宋"/>
          <w:color w:val="auto"/>
          <w:sz w:val="28"/>
          <w:szCs w:val="28"/>
        </w:rPr>
      </w:pPr>
    </w:p>
    <w:p w14:paraId="1601241B">
      <w:pPr>
        <w:pStyle w:val="4"/>
        <w:rPr>
          <w:rFonts w:hint="eastAsia" w:ascii="仿宋" w:hAnsi="仿宋" w:eastAsia="仿宋" w:cs="仿宋"/>
          <w:color w:val="auto"/>
          <w:sz w:val="28"/>
          <w:szCs w:val="28"/>
        </w:rPr>
      </w:pPr>
    </w:p>
    <w:p w14:paraId="6C80C6F3">
      <w:pPr>
        <w:pStyle w:val="4"/>
        <w:rPr>
          <w:rFonts w:hint="eastAsia" w:ascii="仿宋" w:hAnsi="仿宋" w:eastAsia="仿宋" w:cs="仿宋"/>
          <w:color w:val="auto"/>
          <w:sz w:val="28"/>
          <w:szCs w:val="28"/>
        </w:rPr>
      </w:pPr>
    </w:p>
    <w:p w14:paraId="496966E2">
      <w:pPr>
        <w:pStyle w:val="4"/>
        <w:rPr>
          <w:rFonts w:hint="eastAsia" w:ascii="仿宋" w:hAnsi="仿宋" w:eastAsia="仿宋" w:cs="仿宋"/>
          <w:color w:val="auto"/>
          <w:sz w:val="28"/>
          <w:szCs w:val="28"/>
        </w:rPr>
      </w:pPr>
    </w:p>
    <w:p w14:paraId="00868A25">
      <w:pPr>
        <w:pStyle w:val="4"/>
        <w:rPr>
          <w:rFonts w:hint="eastAsia" w:ascii="仿宋" w:hAnsi="仿宋" w:eastAsia="仿宋" w:cs="仿宋"/>
          <w:color w:val="auto"/>
          <w:sz w:val="28"/>
          <w:szCs w:val="28"/>
        </w:rPr>
      </w:pPr>
    </w:p>
    <w:p w14:paraId="7331265C">
      <w:pPr>
        <w:pStyle w:val="4"/>
        <w:rPr>
          <w:rFonts w:hint="eastAsia" w:ascii="仿宋" w:hAnsi="仿宋" w:eastAsia="仿宋" w:cs="仿宋"/>
          <w:color w:val="auto"/>
          <w:sz w:val="28"/>
          <w:szCs w:val="28"/>
        </w:rPr>
      </w:pPr>
    </w:p>
    <w:p w14:paraId="2CF616A3">
      <w:pPr>
        <w:pStyle w:val="4"/>
        <w:rPr>
          <w:rFonts w:hint="eastAsia" w:ascii="仿宋" w:hAnsi="仿宋" w:eastAsia="仿宋" w:cs="仿宋"/>
          <w:color w:val="auto"/>
          <w:sz w:val="28"/>
          <w:szCs w:val="28"/>
        </w:rPr>
      </w:pPr>
    </w:p>
    <w:p w14:paraId="0E1ECB46">
      <w:pPr>
        <w:pStyle w:val="4"/>
        <w:rPr>
          <w:rFonts w:hint="eastAsia" w:ascii="仿宋" w:hAnsi="仿宋" w:eastAsia="仿宋" w:cs="仿宋"/>
          <w:color w:val="auto"/>
          <w:sz w:val="28"/>
          <w:szCs w:val="28"/>
        </w:rPr>
      </w:pPr>
    </w:p>
    <w:p w14:paraId="3E20D93C">
      <w:pPr>
        <w:rPr>
          <w:rFonts w:hint="eastAsia" w:ascii="仿宋" w:hAnsi="仿宋" w:eastAsia="仿宋" w:cs="仿宋"/>
          <w:color w:val="auto"/>
          <w:sz w:val="28"/>
          <w:szCs w:val="28"/>
        </w:rPr>
      </w:pPr>
    </w:p>
    <w:p w14:paraId="78021679">
      <w:pPr>
        <w:pStyle w:val="2"/>
        <w:rPr>
          <w:rFonts w:hint="eastAsia" w:ascii="仿宋" w:hAnsi="仿宋" w:eastAsia="仿宋" w:cs="仿宋"/>
          <w:color w:val="auto"/>
          <w:sz w:val="28"/>
          <w:szCs w:val="28"/>
        </w:rPr>
      </w:pPr>
    </w:p>
    <w:p w14:paraId="2DB0EBE6">
      <w:pPr>
        <w:rPr>
          <w:rFonts w:hint="eastAsia" w:ascii="仿宋" w:hAnsi="仿宋" w:eastAsia="仿宋" w:cs="仿宋"/>
          <w:color w:val="auto"/>
          <w:sz w:val="28"/>
          <w:szCs w:val="28"/>
        </w:rPr>
      </w:pPr>
    </w:p>
    <w:p w14:paraId="1B0CFD98">
      <w:pPr>
        <w:pStyle w:val="2"/>
        <w:rPr>
          <w:rFonts w:hint="eastAsia" w:ascii="仿宋" w:hAnsi="仿宋" w:eastAsia="仿宋" w:cs="仿宋"/>
          <w:color w:val="auto"/>
          <w:sz w:val="28"/>
          <w:szCs w:val="28"/>
        </w:rPr>
      </w:pPr>
    </w:p>
    <w:p w14:paraId="1E236182">
      <w:pPr>
        <w:rPr>
          <w:rFonts w:hint="eastAsia" w:ascii="仿宋" w:hAnsi="仿宋" w:eastAsia="仿宋" w:cs="仿宋"/>
          <w:color w:val="auto"/>
          <w:sz w:val="28"/>
          <w:szCs w:val="28"/>
        </w:rPr>
      </w:pPr>
    </w:p>
    <w:p w14:paraId="583FDD5A">
      <w:pPr>
        <w:pStyle w:val="2"/>
        <w:rPr>
          <w:rFonts w:hint="eastAsia" w:ascii="仿宋" w:hAnsi="仿宋" w:eastAsia="仿宋" w:cs="仿宋"/>
          <w:color w:val="auto"/>
          <w:sz w:val="28"/>
          <w:szCs w:val="28"/>
        </w:rPr>
      </w:pPr>
    </w:p>
    <w:p w14:paraId="1F7BB391">
      <w:pPr>
        <w:pStyle w:val="2"/>
        <w:rPr>
          <w:rFonts w:hint="eastAsia"/>
        </w:rPr>
      </w:pPr>
    </w:p>
    <w:p w14:paraId="653222CA">
      <w:pPr>
        <w:pStyle w:val="4"/>
        <w:rPr>
          <w:rFonts w:hint="eastAsia" w:ascii="仿宋" w:hAnsi="仿宋" w:eastAsia="仿宋" w:cs="仿宋"/>
          <w:color w:val="auto"/>
          <w:sz w:val="28"/>
          <w:szCs w:val="28"/>
        </w:rPr>
      </w:pPr>
    </w:p>
    <w:p w14:paraId="26A147A4">
      <w:pPr>
        <w:pStyle w:val="4"/>
        <w:rPr>
          <w:rFonts w:hint="eastAsia" w:ascii="仿宋" w:hAnsi="仿宋" w:eastAsia="仿宋" w:cs="仿宋"/>
          <w:color w:val="auto"/>
          <w:sz w:val="28"/>
          <w:szCs w:val="28"/>
        </w:rPr>
      </w:pPr>
    </w:p>
    <w:p w14:paraId="666DBAF5">
      <w:pPr>
        <w:pStyle w:val="4"/>
        <w:rPr>
          <w:rFonts w:hint="eastAsia" w:ascii="仿宋" w:hAnsi="仿宋" w:eastAsia="仿宋" w:cs="仿宋"/>
          <w:color w:val="auto"/>
          <w:sz w:val="28"/>
          <w:szCs w:val="28"/>
        </w:rPr>
      </w:pPr>
      <w:r>
        <w:rPr>
          <w:rFonts w:hint="eastAsia" w:ascii="仿宋" w:hAnsi="仿宋" w:eastAsia="仿宋" w:cs="仿宋"/>
          <w:color w:val="auto"/>
          <w:sz w:val="28"/>
          <w:szCs w:val="28"/>
        </w:rPr>
        <w:t>一、总则</w:t>
      </w:r>
    </w:p>
    <w:p w14:paraId="4F4A5AFF">
      <w:pPr>
        <w:snapToGrid w:val="0"/>
        <w:spacing w:line="360" w:lineRule="auto"/>
        <w:ind w:firstLine="427" w:firstLineChars="150"/>
        <w:rPr>
          <w:rFonts w:hint="eastAsia" w:ascii="仿宋" w:hAnsi="仿宋" w:eastAsia="仿宋" w:cs="仿宋"/>
          <w:b/>
          <w:bCs/>
          <w:color w:val="auto"/>
          <w:sz w:val="28"/>
          <w:szCs w:val="28"/>
          <w:lang w:eastAsia="zh-CN"/>
        </w:rPr>
      </w:pPr>
      <w:r>
        <w:rPr>
          <w:rFonts w:hint="eastAsia" w:ascii="仿宋" w:hAnsi="仿宋" w:eastAsia="仿宋" w:cs="仿宋"/>
          <w:b/>
          <w:bCs/>
          <w:color w:val="auto"/>
          <w:kern w:val="2"/>
          <w:sz w:val="28"/>
          <w:szCs w:val="28"/>
        </w:rPr>
        <w:t>（一）项目名称</w:t>
      </w:r>
      <w:r>
        <w:rPr>
          <w:rFonts w:hint="eastAsia" w:ascii="仿宋" w:hAnsi="仿宋" w:eastAsia="仿宋" w:cs="仿宋"/>
          <w:color w:val="auto"/>
          <w:sz w:val="28"/>
          <w:szCs w:val="28"/>
        </w:rPr>
        <w:t>：</w:t>
      </w:r>
      <w:r>
        <w:rPr>
          <w:rFonts w:hint="eastAsia" w:ascii="仿宋" w:hAnsi="仿宋" w:eastAsia="仿宋" w:cs="仿宋"/>
          <w:b/>
          <w:bCs/>
          <w:color w:val="auto"/>
          <w:sz w:val="28"/>
          <w:szCs w:val="28"/>
          <w:lang w:eastAsia="zh-CN"/>
        </w:rPr>
        <w:t>克孜勒苏柯尔克孜自治州质量与计量检验检测中心检验检测设备采购项目</w:t>
      </w:r>
    </w:p>
    <w:p w14:paraId="5BED2A4E">
      <w:pPr>
        <w:snapToGrid w:val="0"/>
        <w:spacing w:line="360" w:lineRule="auto"/>
        <w:ind w:firstLine="427" w:firstLineChars="150"/>
        <w:rPr>
          <w:rFonts w:hint="eastAsia" w:ascii="仿宋" w:hAnsi="仿宋" w:eastAsia="仿宋" w:cs="仿宋"/>
          <w:color w:val="auto"/>
          <w:sz w:val="28"/>
          <w:szCs w:val="28"/>
        </w:rPr>
      </w:pPr>
      <w:r>
        <w:rPr>
          <w:rFonts w:hint="eastAsia" w:ascii="仿宋" w:hAnsi="仿宋" w:eastAsia="仿宋" w:cs="仿宋"/>
          <w:b/>
          <w:bCs/>
          <w:color w:val="auto"/>
          <w:sz w:val="28"/>
          <w:szCs w:val="28"/>
        </w:rPr>
        <w:t>（二）采购方式</w:t>
      </w:r>
      <w:r>
        <w:rPr>
          <w:rFonts w:hint="eastAsia" w:ascii="仿宋" w:hAnsi="仿宋" w:eastAsia="仿宋" w:cs="仿宋"/>
          <w:b/>
          <w:bCs/>
          <w:color w:val="auto"/>
          <w:sz w:val="28"/>
          <w:szCs w:val="28"/>
          <w:lang w:eastAsia="zh-CN"/>
        </w:rPr>
        <w:t>：</w:t>
      </w:r>
      <w:r>
        <w:rPr>
          <w:rFonts w:hint="eastAsia" w:ascii="仿宋" w:hAnsi="仿宋" w:eastAsia="仿宋" w:cs="仿宋"/>
          <w:color w:val="auto"/>
          <w:sz w:val="28"/>
          <w:szCs w:val="28"/>
        </w:rPr>
        <w:t>本项目采取</w:t>
      </w:r>
      <w:r>
        <w:rPr>
          <w:rFonts w:hint="eastAsia" w:ascii="仿宋" w:hAnsi="仿宋" w:eastAsia="仿宋" w:cs="仿宋"/>
          <w:color w:val="auto"/>
          <w:sz w:val="28"/>
          <w:szCs w:val="28"/>
          <w:u w:val="single"/>
          <w:lang w:eastAsia="zh-CN"/>
        </w:rPr>
        <w:t>竞争性谈判</w:t>
      </w:r>
      <w:r>
        <w:rPr>
          <w:rFonts w:hint="eastAsia" w:ascii="仿宋" w:hAnsi="仿宋" w:eastAsia="仿宋" w:cs="仿宋"/>
          <w:color w:val="auto"/>
          <w:sz w:val="28"/>
          <w:szCs w:val="28"/>
        </w:rPr>
        <w:t>方式采购。</w:t>
      </w:r>
    </w:p>
    <w:p w14:paraId="659D885B">
      <w:pPr>
        <w:snapToGrid w:val="0"/>
        <w:spacing w:line="360" w:lineRule="auto"/>
        <w:ind w:firstLine="427" w:firstLineChars="150"/>
        <w:rPr>
          <w:rFonts w:hint="eastAsia" w:ascii="仿宋" w:hAnsi="仿宋" w:eastAsia="仿宋" w:cs="仿宋"/>
          <w:b/>
          <w:bCs/>
          <w:color w:val="auto"/>
          <w:sz w:val="28"/>
          <w:szCs w:val="28"/>
        </w:rPr>
      </w:pPr>
      <w:r>
        <w:rPr>
          <w:rFonts w:hint="eastAsia" w:ascii="仿宋" w:hAnsi="仿宋" w:eastAsia="仿宋" w:cs="仿宋"/>
          <w:b/>
          <w:bCs/>
          <w:color w:val="auto"/>
          <w:sz w:val="28"/>
          <w:szCs w:val="28"/>
        </w:rPr>
        <w:t>（三）合格的供应商</w:t>
      </w:r>
    </w:p>
    <w:p w14:paraId="6D773CC8">
      <w:pPr>
        <w:snapToGrid w:val="0"/>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详见供应商须知前附表</w:t>
      </w:r>
    </w:p>
    <w:p w14:paraId="7132BDF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（四）适用法律</w:t>
      </w:r>
    </w:p>
    <w:p w14:paraId="6AC21A36">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本次招标及由本次招标产生的合同受</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中华人民共和国政府采购法》、《政府采购</w:t>
      </w:r>
      <w:r>
        <w:rPr>
          <w:rFonts w:hint="eastAsia" w:ascii="仿宋" w:hAnsi="仿宋" w:eastAsia="仿宋" w:cs="仿宋"/>
          <w:color w:val="auto"/>
          <w:sz w:val="28"/>
          <w:szCs w:val="28"/>
          <w:lang w:eastAsia="zh-CN"/>
        </w:rPr>
        <w:t>竞争性谈判</w:t>
      </w:r>
      <w:r>
        <w:rPr>
          <w:rFonts w:hint="eastAsia" w:ascii="仿宋" w:hAnsi="仿宋" w:eastAsia="仿宋" w:cs="仿宋"/>
          <w:color w:val="auto"/>
          <w:sz w:val="28"/>
          <w:szCs w:val="28"/>
        </w:rPr>
        <w:t>采购方式管理暂行办法》等相关法律、法规制约和保护。</w:t>
      </w:r>
    </w:p>
    <w:p w14:paraId="7F6526BD">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（五）招标费用</w:t>
      </w:r>
    </w:p>
    <w:p w14:paraId="26B20DFA">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供应商应自行承担所有参加招标有关的费用。</w:t>
      </w:r>
    </w:p>
    <w:p w14:paraId="67E1B969">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（六）</w:t>
      </w:r>
      <w:r>
        <w:rPr>
          <w:rFonts w:hint="eastAsia" w:ascii="仿宋" w:hAnsi="仿宋" w:eastAsia="仿宋" w:cs="仿宋"/>
          <w:b/>
          <w:bCs/>
          <w:color w:val="auto"/>
          <w:sz w:val="28"/>
          <w:szCs w:val="28"/>
          <w:lang w:eastAsia="zh-CN"/>
        </w:rPr>
        <w:t>谈判文件</w:t>
      </w:r>
      <w:r>
        <w:rPr>
          <w:rFonts w:hint="eastAsia" w:ascii="仿宋" w:hAnsi="仿宋" w:eastAsia="仿宋" w:cs="仿宋"/>
          <w:b/>
          <w:bCs/>
          <w:color w:val="auto"/>
          <w:sz w:val="28"/>
          <w:szCs w:val="28"/>
        </w:rPr>
        <w:t>的约束力</w:t>
      </w:r>
    </w:p>
    <w:p w14:paraId="05708ABC">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供应商一旦报名参加本项目投标，即被认为接受了本</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中的所有条件和规定。</w:t>
      </w:r>
    </w:p>
    <w:p w14:paraId="19DF1937">
      <w:pPr>
        <w:pStyle w:val="4"/>
        <w:rPr>
          <w:rFonts w:hint="eastAsia" w:ascii="仿宋" w:hAnsi="仿宋" w:eastAsia="仿宋" w:cs="仿宋"/>
          <w:color w:val="auto"/>
          <w:sz w:val="28"/>
          <w:szCs w:val="28"/>
        </w:rPr>
      </w:pPr>
      <w:bookmarkStart w:id="3" w:name="_Toc452657552"/>
      <w:bookmarkStart w:id="4" w:name="_Toc497129137"/>
      <w:r>
        <w:rPr>
          <w:rFonts w:hint="eastAsia" w:ascii="仿宋" w:hAnsi="仿宋" w:eastAsia="仿宋" w:cs="仿宋"/>
          <w:color w:val="auto"/>
          <w:sz w:val="28"/>
          <w:szCs w:val="28"/>
        </w:rPr>
        <w:t>二、</w:t>
      </w:r>
      <w:bookmarkEnd w:id="3"/>
      <w:bookmarkEnd w:id="4"/>
      <w:r>
        <w:rPr>
          <w:rFonts w:hint="eastAsia" w:ascii="仿宋" w:hAnsi="仿宋" w:eastAsia="仿宋" w:cs="仿宋"/>
          <w:color w:val="auto"/>
          <w:sz w:val="28"/>
          <w:szCs w:val="28"/>
          <w:lang w:eastAsia="zh-CN"/>
        </w:rPr>
        <w:t>谈判文件</w:t>
      </w:r>
    </w:p>
    <w:p w14:paraId="13CBE984">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（七）</w:t>
      </w:r>
      <w:r>
        <w:rPr>
          <w:rFonts w:hint="eastAsia" w:ascii="仿宋" w:hAnsi="仿宋" w:eastAsia="仿宋" w:cs="仿宋"/>
          <w:b/>
          <w:bCs/>
          <w:color w:val="auto"/>
          <w:sz w:val="28"/>
          <w:szCs w:val="28"/>
          <w:lang w:eastAsia="zh-CN"/>
        </w:rPr>
        <w:t>谈判文件</w:t>
      </w:r>
      <w:r>
        <w:rPr>
          <w:rFonts w:hint="eastAsia" w:ascii="仿宋" w:hAnsi="仿宋" w:eastAsia="仿宋" w:cs="仿宋"/>
          <w:b/>
          <w:bCs/>
          <w:color w:val="auto"/>
          <w:sz w:val="28"/>
          <w:szCs w:val="28"/>
        </w:rPr>
        <w:t>构成</w:t>
      </w:r>
    </w:p>
    <w:p w14:paraId="174AC5CF">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竞争性谈判</w:t>
      </w:r>
      <w:r>
        <w:rPr>
          <w:rFonts w:hint="eastAsia" w:ascii="仿宋" w:hAnsi="仿宋" w:eastAsia="仿宋" w:cs="仿宋"/>
          <w:color w:val="auto"/>
          <w:sz w:val="28"/>
          <w:szCs w:val="28"/>
        </w:rPr>
        <w:t>公告</w:t>
      </w:r>
    </w:p>
    <w:p w14:paraId="20163D01">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2.供应商须知</w:t>
      </w:r>
    </w:p>
    <w:p w14:paraId="6EA809EA">
      <w:pPr>
        <w:adjustRightInd w:val="0"/>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3.技术要求</w:t>
      </w:r>
    </w:p>
    <w:p w14:paraId="4FFE4CE0">
      <w:pPr>
        <w:adjustRightInd w:val="0"/>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4.合同文本（参考）</w:t>
      </w:r>
    </w:p>
    <w:p w14:paraId="7DA09E1C">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5.响应文件格式</w:t>
      </w:r>
    </w:p>
    <w:p w14:paraId="77028147">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供应商获取</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后，应仔细检查文件页数和附件数量，如发现有缺漏，请及时与采购代理机构联系补全。如果供应商不按上述要求操作而造成不良后果，采购代理机构不承担责任。</w:t>
      </w:r>
    </w:p>
    <w:p w14:paraId="07F2A3C4">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（八）</w:t>
      </w:r>
      <w:r>
        <w:rPr>
          <w:rFonts w:hint="eastAsia" w:ascii="仿宋" w:hAnsi="仿宋" w:eastAsia="仿宋" w:cs="仿宋"/>
          <w:b/>
          <w:bCs/>
          <w:color w:val="auto"/>
          <w:sz w:val="28"/>
          <w:szCs w:val="28"/>
          <w:lang w:eastAsia="zh-CN"/>
        </w:rPr>
        <w:t>谈判文件</w:t>
      </w:r>
      <w:r>
        <w:rPr>
          <w:rFonts w:hint="eastAsia" w:ascii="仿宋" w:hAnsi="仿宋" w:eastAsia="仿宋" w:cs="仿宋"/>
          <w:b/>
          <w:bCs/>
          <w:color w:val="auto"/>
          <w:sz w:val="28"/>
          <w:szCs w:val="28"/>
        </w:rPr>
        <w:t>的澄清</w:t>
      </w:r>
    </w:p>
    <w:p w14:paraId="7C177C71">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任何要求对</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澄清的供应商，均应在在响应文件接收截止时间5日之前，</w:t>
      </w:r>
      <w:r>
        <w:rPr>
          <w:rFonts w:hint="eastAsia" w:ascii="仿宋" w:hAnsi="仿宋" w:eastAsia="仿宋" w:cs="仿宋"/>
          <w:color w:val="auto"/>
          <w:sz w:val="28"/>
          <w:szCs w:val="28"/>
          <w:lang w:eastAsia="zh-CN"/>
        </w:rPr>
        <w:t>由澄清或质疑方的法定代表人或授权投标人（必须为法定代表人授权进行该项目投标的被授权人）以书面形式向采购人及招标代理公司递交澄清或质疑函(原件)，并登记备案。澄清或质疑函须有法定代表人亲笔签章。澄清函应说明需要澄清的内容，质疑函除应说明需要质疑的内容外，还应提供能够证明质疑内容的相关书面证据。澄清或质疑函应内容真实，证据充分，不得进行恶意质疑。由法定代表人递交澄清或质疑函时，提供法定代表人身份证复印件；由授权投标人递交澄清或质疑函时，还须提供法人投标授权函和质疑授权函（均为原件）及被授权投标人的身份证复印件。身份证复印件须正反面清晰、有效，并要求由该身份证持有人在复印件正反面非空白位置注明“该复印件用于</w:t>
      </w:r>
      <w:r>
        <w:rPr>
          <w:rFonts w:hint="eastAsia" w:ascii="仿宋" w:hAnsi="仿宋" w:eastAsia="仿宋" w:cs="仿宋"/>
          <w:color w:val="auto"/>
          <w:sz w:val="28"/>
          <w:szCs w:val="28"/>
          <w:u w:val="single"/>
          <w:lang w:eastAsia="zh-CN"/>
        </w:rPr>
        <w:t>克孜勒苏柯尔克孜自治州质量与计量检验检测中心检验检测设备采购项目</w:t>
      </w:r>
      <w:r>
        <w:rPr>
          <w:rFonts w:hint="eastAsia" w:ascii="仿宋" w:hAnsi="仿宋" w:eastAsia="仿宋" w:cs="仿宋"/>
          <w:color w:val="auto"/>
          <w:sz w:val="28"/>
          <w:szCs w:val="28"/>
          <w:lang w:eastAsia="zh-CN"/>
        </w:rPr>
        <w:t>澄清或质疑使用”字样，并由身份证持有人签章确认。上述资料均须加盖公章。</w:t>
      </w:r>
      <w:r>
        <w:rPr>
          <w:rFonts w:hint="eastAsia" w:ascii="仿宋" w:hAnsi="仿宋" w:eastAsia="仿宋" w:cs="仿宋"/>
          <w:color w:val="auto"/>
          <w:sz w:val="28"/>
          <w:szCs w:val="28"/>
        </w:rPr>
        <w:t>采购代理机构对规定时间内收到的澄清要求以书面形式予以答复，答复不包括问题的来源。</w:t>
      </w:r>
    </w:p>
    <w:p w14:paraId="7F15B320">
      <w:pPr>
        <w:snapToGrid w:val="0"/>
        <w:spacing w:line="360" w:lineRule="auto"/>
        <w:ind w:firstLine="570"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（九）</w:t>
      </w:r>
      <w:r>
        <w:rPr>
          <w:rFonts w:hint="eastAsia" w:ascii="仿宋" w:hAnsi="仿宋" w:eastAsia="仿宋" w:cs="仿宋"/>
          <w:b/>
          <w:bCs/>
          <w:color w:val="auto"/>
          <w:sz w:val="28"/>
          <w:szCs w:val="28"/>
          <w:lang w:eastAsia="zh-CN"/>
        </w:rPr>
        <w:t>谈判文件</w:t>
      </w:r>
      <w:r>
        <w:rPr>
          <w:rFonts w:hint="eastAsia" w:ascii="仿宋" w:hAnsi="仿宋" w:eastAsia="仿宋" w:cs="仿宋"/>
          <w:b/>
          <w:bCs/>
          <w:color w:val="auto"/>
          <w:sz w:val="28"/>
          <w:szCs w:val="28"/>
        </w:rPr>
        <w:t>的修改</w:t>
      </w:r>
    </w:p>
    <w:p w14:paraId="35BFA196">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1、在响应文件接收截止5日前，采购代理机构可以更正文件以补充文件的形式对</w:t>
      </w:r>
      <w:r>
        <w:rPr>
          <w:rFonts w:hint="eastAsia" w:ascii="仿宋" w:hAnsi="仿宋" w:eastAsia="仿宋" w:cs="仿宋"/>
          <w:bCs/>
          <w:color w:val="auto"/>
          <w:sz w:val="28"/>
          <w:szCs w:val="28"/>
          <w:lang w:eastAsia="zh-CN"/>
        </w:rPr>
        <w:t>竞争性谈判</w:t>
      </w:r>
      <w:r>
        <w:rPr>
          <w:rFonts w:hint="eastAsia" w:ascii="仿宋" w:hAnsi="仿宋" w:eastAsia="仿宋" w:cs="仿宋"/>
          <w:color w:val="auto"/>
          <w:sz w:val="28"/>
          <w:szCs w:val="28"/>
        </w:rPr>
        <w:t>进行修改。</w:t>
      </w:r>
    </w:p>
    <w:p w14:paraId="64897C10">
      <w:pPr>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2、为使供应商有充分的时间对</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的修改部分进行分析、研究，采购代理机构有权推迟响应文件接收截止日期和招标时间，并将此变更在</w:t>
      </w:r>
      <w:r>
        <w:rPr>
          <w:rFonts w:hint="eastAsia" w:ascii="仿宋" w:hAnsi="仿宋" w:eastAsia="仿宋" w:cs="仿宋"/>
          <w:color w:val="auto"/>
          <w:sz w:val="28"/>
          <w:szCs w:val="28"/>
          <w:lang w:eastAsia="zh-CN"/>
        </w:rPr>
        <w:t>政采云平台</w:t>
      </w:r>
      <w:r>
        <w:rPr>
          <w:rFonts w:hint="eastAsia" w:ascii="仿宋" w:hAnsi="仿宋" w:eastAsia="仿宋" w:cs="仿宋"/>
          <w:color w:val="auto"/>
          <w:sz w:val="28"/>
          <w:szCs w:val="28"/>
        </w:rPr>
        <w:t>以变更通知的形式予以公布或以书面通知所有购买</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的供应商。</w:t>
      </w:r>
    </w:p>
    <w:p w14:paraId="54B248D8">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4、采购代理机构发出的所有补充、修改和变更文件均作为</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的组成部分，与</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具有同等法律效力。</w:t>
      </w:r>
    </w:p>
    <w:p w14:paraId="6B1B7FD6">
      <w:pPr>
        <w:pStyle w:val="4"/>
        <w:rPr>
          <w:rFonts w:hint="eastAsia" w:ascii="仿宋" w:hAnsi="仿宋" w:eastAsia="仿宋" w:cs="仿宋"/>
          <w:color w:val="auto"/>
          <w:sz w:val="28"/>
          <w:szCs w:val="28"/>
        </w:rPr>
      </w:pPr>
      <w:bookmarkStart w:id="5" w:name="_Toc497129138"/>
      <w:bookmarkStart w:id="6" w:name="_Toc452657553"/>
      <w:r>
        <w:rPr>
          <w:rFonts w:hint="eastAsia" w:ascii="仿宋" w:hAnsi="仿宋" w:eastAsia="仿宋" w:cs="仿宋"/>
          <w:color w:val="auto"/>
          <w:sz w:val="28"/>
          <w:szCs w:val="28"/>
        </w:rPr>
        <w:t>三、响应文件的编制</w:t>
      </w:r>
      <w:bookmarkEnd w:id="5"/>
      <w:bookmarkEnd w:id="6"/>
    </w:p>
    <w:p w14:paraId="14626163">
      <w:pPr>
        <w:snapToGrid w:val="0"/>
        <w:spacing w:line="360" w:lineRule="auto"/>
        <w:ind w:firstLine="285" w:firstLineChars="100"/>
        <w:rPr>
          <w:rFonts w:hint="eastAsia" w:ascii="仿宋" w:hAnsi="仿宋" w:eastAsia="仿宋" w:cs="仿宋"/>
          <w:b/>
          <w:bCs/>
          <w:color w:val="auto"/>
          <w:sz w:val="28"/>
          <w:szCs w:val="28"/>
        </w:rPr>
      </w:pPr>
      <w:r>
        <w:rPr>
          <w:rFonts w:hint="eastAsia" w:ascii="仿宋" w:hAnsi="仿宋" w:eastAsia="仿宋" w:cs="仿宋"/>
          <w:b/>
          <w:bCs/>
          <w:color w:val="auto"/>
          <w:sz w:val="28"/>
          <w:szCs w:val="28"/>
        </w:rPr>
        <w:t>（十）响应文件的编制要求</w:t>
      </w:r>
    </w:p>
    <w:p w14:paraId="1DBFD82C">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供应商应仔细阅读“</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”的所有内容，按“</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”的要求编制“响应文件”，并保证所提供的全部资料的真实性、完整性及有效性，以使其投标对“</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”做出</w:t>
      </w:r>
      <w:r>
        <w:rPr>
          <w:rFonts w:hint="eastAsia" w:ascii="仿宋" w:hAnsi="仿宋" w:eastAsia="仿宋" w:cs="仿宋"/>
          <w:b/>
          <w:color w:val="auto"/>
          <w:sz w:val="28"/>
          <w:szCs w:val="28"/>
        </w:rPr>
        <w:t>实质性响应</w:t>
      </w:r>
      <w:r>
        <w:rPr>
          <w:rFonts w:hint="eastAsia" w:ascii="仿宋" w:hAnsi="仿宋" w:eastAsia="仿宋" w:cs="仿宋"/>
          <w:color w:val="auto"/>
          <w:sz w:val="28"/>
          <w:szCs w:val="28"/>
        </w:rPr>
        <w:t>。否则，可能被拒绝。</w:t>
      </w:r>
    </w:p>
    <w:p w14:paraId="3B95911C">
      <w:pPr>
        <w:snapToGrid w:val="0"/>
        <w:spacing w:line="360" w:lineRule="auto"/>
        <w:ind w:firstLine="285" w:firstLineChars="100"/>
        <w:rPr>
          <w:rFonts w:hint="eastAsia" w:ascii="仿宋" w:hAnsi="仿宋" w:eastAsia="仿宋" w:cs="仿宋"/>
          <w:color w:val="auto"/>
          <w:sz w:val="28"/>
          <w:szCs w:val="28"/>
        </w:rPr>
      </w:pPr>
      <w:r>
        <w:rPr>
          <w:rFonts w:hint="eastAsia" w:ascii="仿宋" w:hAnsi="仿宋" w:eastAsia="仿宋" w:cs="仿宋"/>
          <w:b/>
          <w:bCs/>
          <w:color w:val="auto"/>
          <w:sz w:val="28"/>
          <w:szCs w:val="28"/>
        </w:rPr>
        <w:t>（十一）响应文件构成</w:t>
      </w:r>
    </w:p>
    <w:p w14:paraId="39A2A3C4">
      <w:pPr>
        <w:snapToGrid w:val="0"/>
        <w:spacing w:line="360" w:lineRule="auto"/>
        <w:ind w:firstLine="570" w:firstLineChars="200"/>
        <w:rPr>
          <w:rFonts w:hint="eastAsia" w:ascii="仿宋" w:hAnsi="仿宋" w:eastAsia="仿宋" w:cs="仿宋"/>
          <w:b w:val="0"/>
          <w:bCs/>
          <w:color w:val="auto"/>
          <w:sz w:val="28"/>
          <w:szCs w:val="28"/>
          <w:lang w:eastAsia="zh-CN"/>
        </w:rPr>
      </w:pPr>
      <w:r>
        <w:rPr>
          <w:rFonts w:hint="eastAsia" w:ascii="仿宋" w:hAnsi="仿宋" w:eastAsia="仿宋" w:cs="仿宋"/>
          <w:b w:val="0"/>
          <w:bCs/>
          <w:color w:val="auto"/>
          <w:sz w:val="28"/>
          <w:szCs w:val="28"/>
          <w:lang w:eastAsia="zh-CN"/>
        </w:rPr>
        <w:t>资格证明文件和商务及技术文件两部分</w:t>
      </w:r>
    </w:p>
    <w:p w14:paraId="32DFE1F3">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（1）</w:t>
      </w:r>
      <w:r>
        <w:rPr>
          <w:rFonts w:hint="eastAsia" w:ascii="仿宋" w:hAnsi="仿宋" w:eastAsia="仿宋" w:cs="仿宋"/>
          <w:b/>
          <w:color w:val="auto"/>
          <w:sz w:val="28"/>
          <w:szCs w:val="28"/>
          <w:lang w:eastAsia="zh-CN"/>
        </w:rPr>
        <w:t>资格证明文件（包括但不限于）</w:t>
      </w:r>
    </w:p>
    <w:p w14:paraId="093F6337">
      <w:pPr>
        <w:snapToGrid w:val="0"/>
        <w:spacing w:line="360" w:lineRule="auto"/>
        <w:ind w:firstLine="570" w:firstLineChars="200"/>
        <w:rPr>
          <w:rFonts w:hint="eastAsia" w:ascii="仿宋" w:hAnsi="仿宋" w:eastAsia="仿宋" w:cs="仿宋"/>
          <w:b w:val="0"/>
          <w:bCs/>
          <w:color w:val="auto"/>
          <w:sz w:val="28"/>
          <w:szCs w:val="28"/>
          <w:lang w:eastAsia="zh-CN"/>
        </w:rPr>
      </w:pPr>
      <w:r>
        <w:rPr>
          <w:rFonts w:hint="eastAsia" w:ascii="仿宋" w:hAnsi="仿宋" w:eastAsia="仿宋" w:cs="仿宋"/>
          <w:b w:val="0"/>
          <w:bCs/>
          <w:color w:val="auto"/>
          <w:sz w:val="28"/>
          <w:szCs w:val="28"/>
          <w:lang w:eastAsia="zh-CN"/>
        </w:rPr>
        <w:t>资格证明文件是证明投标人有资格参加投标和中标后有能力履行合同的文件，这些文件应能满足招标的要求，否则作无效投标处理。</w:t>
      </w:r>
    </w:p>
    <w:p w14:paraId="19905B3D">
      <w:pPr>
        <w:numPr>
          <w:ilvl w:val="0"/>
          <w:numId w:val="0"/>
        </w:num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1</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具备三证合一营业执照副本</w:t>
      </w:r>
    </w:p>
    <w:p w14:paraId="73DBC350">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2、法定代表人资格证明书</w:t>
      </w:r>
    </w:p>
    <w:p w14:paraId="4FDAB807">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3、法定代表人授权书</w:t>
      </w:r>
    </w:p>
    <w:p w14:paraId="2C4F9491">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4、</w:t>
      </w:r>
      <w:r>
        <w:rPr>
          <w:rFonts w:hint="eastAsia" w:ascii="仿宋" w:hAnsi="仿宋" w:eastAsia="仿宋" w:cs="仿宋"/>
          <w:b/>
          <w:color w:val="auto"/>
          <w:sz w:val="28"/>
          <w:szCs w:val="28"/>
          <w:lang w:val="en-US" w:eastAsia="zh-CN"/>
        </w:rPr>
        <w:t>投标保证金缴纳凭证或投标担保函</w:t>
      </w:r>
    </w:p>
    <w:p w14:paraId="4B7B074E">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5、</w:t>
      </w:r>
      <w:r>
        <w:rPr>
          <w:rFonts w:hint="eastAsia" w:ascii="仿宋" w:hAnsi="仿宋" w:eastAsia="仿宋" w:cs="仿宋"/>
          <w:b/>
          <w:color w:val="auto"/>
          <w:sz w:val="28"/>
          <w:szCs w:val="28"/>
          <w:lang w:val="en-US" w:eastAsia="zh-CN"/>
        </w:rPr>
        <w:t>投标企业须提供投标人（被授权本单位在职人员）近6个月内任意一个月有效的社保证明；</w:t>
      </w:r>
    </w:p>
    <w:p w14:paraId="11035960">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6</w:t>
      </w:r>
      <w:r>
        <w:rPr>
          <w:rFonts w:hint="eastAsia" w:ascii="仿宋" w:hAnsi="仿宋" w:eastAsia="仿宋" w:cs="仿宋"/>
          <w:b/>
          <w:color w:val="auto"/>
          <w:sz w:val="28"/>
          <w:szCs w:val="28"/>
          <w:lang w:eastAsia="zh-CN"/>
        </w:rPr>
        <w:t>、投标企业需提供参加本次采购活动前三年内未被“信用中国”（www.creditchina.gov.cn）、中国政府采购网（www.ccgp.gov.cn）列入失信被执行人、重大税收违法案件当事人名单、政府采购严重违法失信行为记录名单；</w:t>
      </w:r>
    </w:p>
    <w:p w14:paraId="027766C9">
      <w:pPr>
        <w:snapToGrid w:val="0"/>
        <w:spacing w:line="360" w:lineRule="auto"/>
        <w:ind w:firstLine="570" w:firstLineChars="200"/>
        <w:rPr>
          <w:rFonts w:hint="eastAsia"/>
          <w:lang w:eastAsia="zh-CN"/>
        </w:rPr>
      </w:pPr>
      <w:r>
        <w:rPr>
          <w:rFonts w:hint="eastAsia" w:ascii="仿宋" w:hAnsi="仿宋" w:eastAsia="仿宋" w:cs="仿宋"/>
          <w:b/>
          <w:color w:val="auto"/>
          <w:sz w:val="28"/>
          <w:szCs w:val="28"/>
          <w:lang w:val="en-US" w:eastAsia="zh-CN"/>
        </w:rPr>
        <w:t>7、</w:t>
      </w:r>
      <w:r>
        <w:rPr>
          <w:rFonts w:hint="eastAsia" w:ascii="仿宋" w:hAnsi="仿宋" w:eastAsia="仿宋" w:cs="仿宋"/>
          <w:b/>
          <w:color w:val="auto"/>
          <w:sz w:val="28"/>
          <w:szCs w:val="28"/>
          <w:lang w:eastAsia="zh-CN"/>
        </w:rPr>
        <w:t>供应商须提供中小企业声明函</w:t>
      </w:r>
    </w:p>
    <w:p w14:paraId="0A2A175F">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8</w:t>
      </w:r>
      <w:r>
        <w:rPr>
          <w:rFonts w:hint="eastAsia" w:ascii="仿宋" w:hAnsi="仿宋" w:eastAsia="仿宋" w:cs="仿宋"/>
          <w:b/>
          <w:color w:val="auto"/>
          <w:sz w:val="28"/>
          <w:szCs w:val="28"/>
          <w:lang w:eastAsia="zh-CN"/>
        </w:rPr>
        <w:t xml:space="preserve">、投标人须知资料表要求的其他资格证明文件; </w:t>
      </w:r>
    </w:p>
    <w:p w14:paraId="44A6680E">
      <w:pPr>
        <w:snapToGrid w:val="0"/>
        <w:spacing w:line="360" w:lineRule="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（2）商务及技术文件（包括但不限于）</w:t>
      </w:r>
    </w:p>
    <w:p w14:paraId="615AE9C2">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1、投标函</w:t>
      </w:r>
    </w:p>
    <w:p w14:paraId="2C4E94A3">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2、开标一览表</w:t>
      </w:r>
    </w:p>
    <w:p w14:paraId="3AAE29F2">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3、货物说明一览表</w:t>
      </w:r>
    </w:p>
    <w:p w14:paraId="5866F9F6">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4、投标分项报价表</w:t>
      </w:r>
    </w:p>
    <w:p w14:paraId="170C9175">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5、技术规格偏离表</w:t>
      </w:r>
    </w:p>
    <w:p w14:paraId="7DAB3713">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6、商务条款偏离表</w:t>
      </w:r>
    </w:p>
    <w:p w14:paraId="449DC5CF">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7、投标人基本情况表</w:t>
      </w:r>
    </w:p>
    <w:p w14:paraId="6C012FF5">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8、中小企业声明函(货物)</w:t>
      </w:r>
    </w:p>
    <w:p w14:paraId="369D278C">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9、《残疾人福利性单位声明函》</w:t>
      </w:r>
    </w:p>
    <w:p w14:paraId="4C4A558A">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10、投标人认为有必要提供的其他证明材料</w:t>
      </w:r>
    </w:p>
    <w:p w14:paraId="26239DE2">
      <w:pPr>
        <w:snapToGrid w:val="0"/>
        <w:spacing w:line="360" w:lineRule="auto"/>
        <w:ind w:firstLine="570" w:firstLineChars="200"/>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注：1.为了便于查找，请按上述顺序编制内容，并在目录中标明每项内容的起始页码。</w:t>
      </w:r>
    </w:p>
    <w:p w14:paraId="53E2BAD8">
      <w:pPr>
        <w:snapToGrid w:val="0"/>
        <w:spacing w:line="360" w:lineRule="auto"/>
        <w:ind w:firstLine="1140" w:firstLineChars="400"/>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 xml:space="preserve">2.以上材料须加盖单位公章       </w:t>
      </w:r>
    </w:p>
    <w:p w14:paraId="7C8A0C56">
      <w:pPr>
        <w:snapToGrid w:val="0"/>
        <w:spacing w:line="360" w:lineRule="auto"/>
        <w:ind w:firstLine="1140" w:firstLineChars="400"/>
        <w:rPr>
          <w:rFonts w:hint="eastAsia" w:ascii="仿宋" w:hAnsi="仿宋" w:eastAsia="仿宋" w:cs="仿宋"/>
          <w:b/>
          <w:bCs/>
          <w:color w:val="auto"/>
          <w:sz w:val="28"/>
          <w:szCs w:val="28"/>
        </w:rPr>
      </w:pPr>
      <w:r>
        <w:rPr>
          <w:rFonts w:hint="eastAsia" w:ascii="仿宋" w:hAnsi="仿宋" w:eastAsia="仿宋" w:cs="仿宋"/>
          <w:color w:val="auto"/>
          <w:sz w:val="28"/>
          <w:szCs w:val="28"/>
          <w:u w:val="single"/>
        </w:rPr>
        <w:t>3. 请各投标供应商根据项目实际需求，并结合企业自身情况以及相关评标办法进行编制。</w:t>
      </w:r>
    </w:p>
    <w:p w14:paraId="3C5CF50C">
      <w:pPr>
        <w:snapToGrid w:val="0"/>
        <w:spacing w:line="360" w:lineRule="auto"/>
        <w:ind w:firstLine="200"/>
        <w:rPr>
          <w:rFonts w:hint="eastAsia" w:ascii="仿宋" w:hAnsi="仿宋" w:eastAsia="仿宋" w:cs="仿宋"/>
          <w:color w:val="auto"/>
          <w:sz w:val="28"/>
          <w:szCs w:val="28"/>
        </w:rPr>
      </w:pPr>
      <w:r>
        <w:rPr>
          <w:rFonts w:hint="eastAsia" w:ascii="仿宋" w:hAnsi="仿宋" w:eastAsia="仿宋" w:cs="仿宋"/>
          <w:b/>
          <w:bCs/>
          <w:color w:val="auto"/>
          <w:sz w:val="28"/>
          <w:szCs w:val="28"/>
        </w:rPr>
        <w:t>（十二）响应文件格式</w:t>
      </w:r>
    </w:p>
    <w:p w14:paraId="572A1E89">
      <w:pPr>
        <w:snapToGrid w:val="0"/>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供应商应仔细阅读谈判文件的所有内容，按照谈判文件的要求详细编制响应文件，所提交的全部资料必须真实有效，并且要保证字迹清晰易于辨认。响应文件应对谈判文件实质性内容作出响应，否则按无效标处理。</w:t>
      </w:r>
    </w:p>
    <w:p w14:paraId="67E396A3">
      <w:pPr>
        <w:snapToGrid w:val="0"/>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（2）响应文件格式应按本谈判文件第五章格式要求编制，不得对谈判文件格式进行增删更改，否则按无效标处理。</w:t>
      </w:r>
    </w:p>
    <w:p w14:paraId="7DB98A91">
      <w:pPr>
        <w:snapToGrid w:val="0"/>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）响应文件为电子响应文件，电子响应文件按“政采云供应商项目采购-电子招投标操作指南”及本谈判文件要求制作、加密传输。</w:t>
      </w:r>
    </w:p>
    <w:p w14:paraId="75AB6C76">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eastAsia="zh-CN"/>
        </w:rPr>
        <w:t>）响应文件未在投标截止时间前完成传输的，视为响应文件撤回；响应文件未按时解密也未提供备份响应文件的，亦视为响应文件撤回。</w:t>
      </w:r>
    </w:p>
    <w:p w14:paraId="02F49261">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（十三）</w:t>
      </w:r>
      <w:r>
        <w:rPr>
          <w:rFonts w:hint="eastAsia" w:ascii="仿宋" w:hAnsi="仿宋" w:eastAsia="仿宋" w:cs="仿宋"/>
          <w:b/>
          <w:bCs/>
          <w:color w:val="auto"/>
          <w:sz w:val="28"/>
          <w:szCs w:val="28"/>
          <w:lang w:eastAsia="zh-CN"/>
        </w:rPr>
        <w:t>谈判</w:t>
      </w:r>
      <w:r>
        <w:rPr>
          <w:rFonts w:hint="eastAsia" w:ascii="仿宋" w:hAnsi="仿宋" w:eastAsia="仿宋" w:cs="仿宋"/>
          <w:b/>
          <w:bCs/>
          <w:color w:val="auto"/>
          <w:sz w:val="28"/>
          <w:szCs w:val="28"/>
        </w:rPr>
        <w:t>报价</w:t>
      </w:r>
    </w:p>
    <w:p w14:paraId="10BFF2F0">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报价为“招标范围”内的总报价。</w:t>
      </w:r>
    </w:p>
    <w:p w14:paraId="10BFF814">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2、凡要求供应商考虑在报价中的内容供应商在响应文件中没有考虑、没有计入的或未单独列出，采购人认为供应商已将此项费用涵盖在其它费用价格中。</w:t>
      </w:r>
    </w:p>
    <w:p w14:paraId="109917F8">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报价应包含项目实施过程中涉及到的一切费用。</w:t>
      </w:r>
    </w:p>
    <w:p w14:paraId="4922B648">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4、报价注意事项：</w:t>
      </w:r>
    </w:p>
    <w:p w14:paraId="06F05E1B">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供应商报价时应充分考虑所有可能影响到报价的报价因素，一旦招标结束最终成交，总价将固定，不予调整。如发生漏、缺、少项，都将被认为是成交人的报价让利行为，损失自负。</w:t>
      </w:r>
    </w:p>
    <w:p w14:paraId="3B8080A6">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（十四）投标有效期</w:t>
      </w:r>
    </w:p>
    <w:p w14:paraId="68C12677">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1、投标有效期为</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规定的供应商提交响应文件截止之日起</w:t>
      </w:r>
      <w:r>
        <w:rPr>
          <w:rFonts w:hint="eastAsia" w:ascii="仿宋" w:hAnsi="仿宋" w:eastAsia="仿宋" w:cs="仿宋"/>
          <w:color w:val="auto"/>
          <w:sz w:val="28"/>
          <w:szCs w:val="28"/>
          <w:u w:val="single"/>
          <w:lang w:val="en-US" w:eastAsia="zh-CN"/>
        </w:rPr>
        <w:t>6</w:t>
      </w:r>
      <w:r>
        <w:rPr>
          <w:rFonts w:hint="eastAsia" w:ascii="仿宋" w:hAnsi="仿宋" w:eastAsia="仿宋" w:cs="仿宋"/>
          <w:color w:val="auto"/>
          <w:sz w:val="28"/>
          <w:szCs w:val="28"/>
          <w:u w:val="single"/>
          <w:lang w:eastAsia="zh-CN"/>
        </w:rPr>
        <w:t>0</w:t>
      </w:r>
      <w:r>
        <w:rPr>
          <w:rFonts w:hint="eastAsia" w:ascii="仿宋" w:hAnsi="仿宋" w:eastAsia="仿宋" w:cs="仿宋"/>
          <w:color w:val="auto"/>
          <w:sz w:val="28"/>
          <w:szCs w:val="28"/>
        </w:rPr>
        <w:t>天。投标有效期不满足</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要求的将视为非响应性文件而予以拒绝。</w:t>
      </w:r>
    </w:p>
    <w:p w14:paraId="0B24091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在特殊情况下，采购人于原投标有效期满之前，可向供应商提出延长投标有效期的要求，这种要求与答复均应采用书面形式（如信件、传真或电报等），供应商可以拒绝采购人的这一要求而放弃参与投标；同意延长的供应商不允许修改其响应文件。</w:t>
      </w:r>
    </w:p>
    <w:p w14:paraId="5283F68D">
      <w:pPr>
        <w:snapToGrid w:val="0"/>
        <w:spacing w:line="360" w:lineRule="auto"/>
        <w:ind w:firstLine="278" w:firstLineChars="98"/>
        <w:rPr>
          <w:rFonts w:hint="eastAsia" w:ascii="仿宋" w:hAnsi="仿宋" w:eastAsia="仿宋" w:cs="仿宋"/>
          <w:color w:val="auto"/>
          <w:sz w:val="28"/>
          <w:szCs w:val="28"/>
        </w:rPr>
      </w:pPr>
      <w:r>
        <w:rPr>
          <w:rFonts w:hint="eastAsia" w:ascii="仿宋" w:hAnsi="仿宋" w:eastAsia="仿宋" w:cs="仿宋"/>
          <w:b/>
          <w:bCs/>
          <w:color w:val="auto"/>
          <w:sz w:val="28"/>
          <w:szCs w:val="28"/>
        </w:rPr>
        <w:t>（十</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）响应文件</w:t>
      </w:r>
      <w:r>
        <w:rPr>
          <w:rFonts w:hint="eastAsia" w:ascii="仿宋" w:hAnsi="仿宋" w:eastAsia="仿宋" w:cs="仿宋"/>
          <w:b/>
          <w:bCs/>
          <w:color w:val="auto"/>
          <w:sz w:val="28"/>
          <w:szCs w:val="28"/>
          <w:lang w:eastAsia="zh-CN"/>
        </w:rPr>
        <w:t>的</w:t>
      </w:r>
      <w:r>
        <w:rPr>
          <w:rFonts w:hint="eastAsia" w:ascii="仿宋" w:hAnsi="仿宋" w:eastAsia="仿宋" w:cs="仿宋"/>
          <w:b/>
          <w:bCs/>
          <w:color w:val="auto"/>
          <w:sz w:val="28"/>
          <w:szCs w:val="28"/>
        </w:rPr>
        <w:t>签署</w:t>
      </w:r>
    </w:p>
    <w:p w14:paraId="2E63B1B1">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1、除供应商对错处做必要修改外，响应文件不得行间插字、涂改或增删，必要的修改处必须有供应商法人代表或其被授权人</w:t>
      </w:r>
      <w:r>
        <w:rPr>
          <w:rFonts w:hint="eastAsia" w:ascii="仿宋" w:hAnsi="仿宋" w:eastAsia="仿宋" w:cs="仿宋"/>
          <w:color w:val="auto"/>
          <w:sz w:val="28"/>
          <w:szCs w:val="28"/>
          <w:lang w:eastAsia="zh-CN"/>
        </w:rPr>
        <w:t>签章</w:t>
      </w:r>
      <w:r>
        <w:rPr>
          <w:rFonts w:hint="eastAsia" w:ascii="仿宋" w:hAnsi="仿宋" w:eastAsia="仿宋" w:cs="仿宋"/>
          <w:color w:val="auto"/>
          <w:sz w:val="28"/>
          <w:szCs w:val="28"/>
        </w:rPr>
        <w:t>并加盖公章。</w:t>
      </w:r>
    </w:p>
    <w:p w14:paraId="51538505">
      <w:pPr>
        <w:pStyle w:val="3"/>
        <w:rPr>
          <w:rFonts w:hint="eastAsia" w:ascii="仿宋" w:hAnsi="仿宋" w:eastAsia="仿宋" w:cs="仿宋"/>
          <w:b/>
          <w:bCs/>
          <w:color w:val="auto"/>
          <w:sz w:val="28"/>
          <w:szCs w:val="28"/>
          <w:lang w:eastAsia="zh-CN"/>
        </w:rPr>
      </w:pP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四</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的制作、上传及递交要求</w:t>
      </w:r>
    </w:p>
    <w:p w14:paraId="2C501229">
      <w:pPr>
        <w:snapToGrid w:val="0"/>
        <w:spacing w:line="360" w:lineRule="auto"/>
        <w:ind w:firstLine="570" w:firstLineChars="200"/>
        <w:rPr>
          <w:rFonts w:hint="eastAsia" w:ascii="仿宋" w:hAnsi="仿宋" w:eastAsia="仿宋" w:cs="仿宋"/>
          <w:b/>
          <w:color w:val="auto"/>
          <w:sz w:val="28"/>
          <w:szCs w:val="28"/>
        </w:rPr>
      </w:pPr>
      <w:r>
        <w:rPr>
          <w:rFonts w:hint="eastAsia" w:ascii="仿宋" w:hAnsi="仿宋" w:eastAsia="仿宋" w:cs="仿宋"/>
          <w:b/>
          <w:bCs/>
          <w:color w:val="auto"/>
          <w:sz w:val="28"/>
          <w:szCs w:val="28"/>
          <w:lang w:eastAsia="zh-CN"/>
        </w:rPr>
        <w:t>（十六）响应文件</w:t>
      </w:r>
      <w:r>
        <w:rPr>
          <w:rFonts w:hint="eastAsia" w:ascii="仿宋" w:hAnsi="仿宋" w:eastAsia="仿宋" w:cs="仿宋"/>
          <w:b/>
          <w:bCs/>
          <w:color w:val="auto"/>
          <w:sz w:val="28"/>
          <w:szCs w:val="28"/>
        </w:rPr>
        <w:t>的制作要求</w:t>
      </w:r>
    </w:p>
    <w:p w14:paraId="48137197">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（1）供应商应按照</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组成内容及项目招标需求和</w:t>
      </w:r>
      <w:r>
        <w:rPr>
          <w:rFonts w:hint="eastAsia" w:ascii="仿宋" w:hAnsi="仿宋" w:eastAsia="仿宋" w:cs="仿宋"/>
          <w:color w:val="auto"/>
          <w:sz w:val="28"/>
          <w:szCs w:val="28"/>
          <w:lang w:eastAsia="zh-CN"/>
        </w:rPr>
        <w:t>新疆</w:t>
      </w:r>
      <w:r>
        <w:rPr>
          <w:rFonts w:hint="eastAsia" w:ascii="仿宋" w:hAnsi="仿宋" w:eastAsia="仿宋" w:cs="仿宋"/>
          <w:color w:val="auto"/>
          <w:sz w:val="28"/>
          <w:szCs w:val="28"/>
        </w:rPr>
        <w:t>政府采购云平台要求制作</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，不按</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和</w:t>
      </w:r>
      <w:r>
        <w:rPr>
          <w:rFonts w:hint="eastAsia" w:ascii="仿宋" w:hAnsi="仿宋" w:eastAsia="仿宋" w:cs="仿宋"/>
          <w:color w:val="auto"/>
          <w:sz w:val="28"/>
          <w:szCs w:val="28"/>
          <w:lang w:eastAsia="zh-CN"/>
        </w:rPr>
        <w:t>新疆</w:t>
      </w:r>
      <w:r>
        <w:rPr>
          <w:rFonts w:hint="eastAsia" w:ascii="仿宋" w:hAnsi="仿宋" w:eastAsia="仿宋" w:cs="仿宋"/>
          <w:color w:val="auto"/>
          <w:sz w:val="28"/>
          <w:szCs w:val="28"/>
        </w:rPr>
        <w:t>政府采购云平台要求制作</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的将视情况处理（拒收等），由此产生的责任由供应商自行承担。</w:t>
      </w:r>
    </w:p>
    <w:p w14:paraId="5BF29B71">
      <w:pPr>
        <w:pStyle w:val="5"/>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部分：供应商应根据“政采云供应商项目采购-电子招投标操作指南”及本</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规定的格式和顺序编制电子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并进行关联定位。本文件《</w:t>
      </w:r>
      <w:r>
        <w:rPr>
          <w:rFonts w:hint="eastAsia" w:ascii="仿宋" w:hAnsi="仿宋" w:eastAsia="仿宋" w:cs="仿宋"/>
          <w:color w:val="auto"/>
          <w:sz w:val="28"/>
          <w:szCs w:val="28"/>
          <w:lang w:eastAsia="zh-CN"/>
        </w:rPr>
        <w:t>第五部分</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格式》中有提供格式的，供应商应按照格式进行编制（格式中要求提供相关证明材料的还需后附相关证明材料），并按格式要求在指定位置根据要求进行签章，否则视为未提供；本文件《</w:t>
      </w:r>
      <w:r>
        <w:rPr>
          <w:rFonts w:hint="eastAsia" w:ascii="仿宋" w:hAnsi="仿宋" w:eastAsia="仿宋" w:cs="仿宋"/>
          <w:color w:val="auto"/>
          <w:sz w:val="28"/>
          <w:szCs w:val="28"/>
          <w:lang w:eastAsia="zh-CN"/>
        </w:rPr>
        <w:t>第五部分响应文件</w:t>
      </w:r>
      <w:r>
        <w:rPr>
          <w:rFonts w:hint="eastAsia" w:ascii="仿宋" w:hAnsi="仿宋" w:eastAsia="仿宋" w:cs="仿宋"/>
          <w:color w:val="auto"/>
          <w:sz w:val="28"/>
          <w:szCs w:val="28"/>
        </w:rPr>
        <w:t>格式》未提供格式的，请供应商自行拟定格式，并加盖单位公章，否则视为未提供。</w:t>
      </w:r>
    </w:p>
    <w:p w14:paraId="3B6633A1">
      <w:pPr>
        <w:pStyle w:val="5"/>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备份电子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：通过“政采云”平台电子投标工具制作</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所产生的备份文件。</w:t>
      </w:r>
    </w:p>
    <w:p w14:paraId="488924DF">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（2）供应商应对所提供的全部资料的真实性、有效性承担法律责任，电子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中所须加盖公章部分均采用CA签章。</w:t>
      </w:r>
    </w:p>
    <w:p w14:paraId="3303A95B">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以及供应商与采购组织机构就有关投标事宜的所有来往函电，均应以中文汉语书写。除</w:t>
      </w:r>
      <w:r>
        <w:rPr>
          <w:rFonts w:hint="eastAsia" w:ascii="仿宋" w:hAnsi="仿宋" w:eastAsia="仿宋" w:cs="仿宋"/>
          <w:color w:val="auto"/>
          <w:sz w:val="28"/>
          <w:szCs w:val="28"/>
          <w:lang w:eastAsia="zh-CN"/>
        </w:rPr>
        <w:t>签章</w:t>
      </w:r>
      <w:r>
        <w:rPr>
          <w:rFonts w:hint="eastAsia" w:ascii="仿宋" w:hAnsi="仿宋" w:eastAsia="仿宋" w:cs="仿宋"/>
          <w:color w:val="auto"/>
          <w:sz w:val="28"/>
          <w:szCs w:val="28"/>
        </w:rPr>
        <w:t>、盖章、专用名称等特殊情形外，以中文汉语以外的文字表述的</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视同未提供。</w:t>
      </w:r>
    </w:p>
    <w:p w14:paraId="250906BB">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（4）投标计量单位，</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已有明确规定的，使用</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规定的计量单位；</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没有规定的，应采用中华人民共和国法定计量单位（货币单位：人民币元）。</w:t>
      </w:r>
    </w:p>
    <w:p w14:paraId="7E36079D">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（5）若供应商不按</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的要求提供资格审查材料，其风险由供应商自行承担。</w:t>
      </w:r>
    </w:p>
    <w:p w14:paraId="6141458E">
      <w:pPr>
        <w:pStyle w:val="5"/>
        <w:snapToGrid w:val="0"/>
        <w:spacing w:line="360" w:lineRule="auto"/>
        <w:rPr>
          <w:rFonts w:hint="eastAsia" w:ascii="仿宋" w:hAnsi="仿宋" w:eastAsia="仿宋" w:cs="仿宋"/>
          <w:bCs/>
          <w:color w:val="auto"/>
          <w:sz w:val="28"/>
          <w:szCs w:val="28"/>
          <w:lang w:eastAsia="zh-CN"/>
        </w:rPr>
      </w:pPr>
      <w:r>
        <w:rPr>
          <w:rFonts w:hint="eastAsia" w:ascii="仿宋" w:hAnsi="仿宋" w:eastAsia="仿宋" w:cs="仿宋"/>
          <w:color w:val="auto"/>
          <w:sz w:val="28"/>
          <w:szCs w:val="28"/>
        </w:rPr>
        <w:t>（6）与本次投标无关的内容请不要制作在内，确保</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有针对性、简洁明</w:t>
      </w:r>
      <w:r>
        <w:rPr>
          <w:rFonts w:hint="eastAsia" w:ascii="仿宋" w:hAnsi="仿宋" w:eastAsia="仿宋" w:cs="仿宋"/>
          <w:bCs/>
          <w:color w:val="auto"/>
          <w:sz w:val="28"/>
          <w:szCs w:val="28"/>
        </w:rPr>
        <w:t>了。</w:t>
      </w:r>
    </w:p>
    <w:p w14:paraId="60969C2A">
      <w:pPr>
        <w:snapToGrid w:val="0"/>
        <w:spacing w:line="360" w:lineRule="auto"/>
        <w:ind w:firstLine="570" w:firstLineChars="200"/>
        <w:rPr>
          <w:rFonts w:hint="eastAsia" w:ascii="仿宋" w:hAnsi="仿宋" w:eastAsia="仿宋" w:cs="仿宋"/>
          <w:b/>
          <w:color w:val="auto"/>
          <w:sz w:val="28"/>
          <w:szCs w:val="28"/>
        </w:rPr>
      </w:pPr>
      <w:r>
        <w:rPr>
          <w:rFonts w:hint="eastAsia" w:ascii="仿宋" w:hAnsi="仿宋" w:eastAsia="仿宋" w:cs="仿宋"/>
          <w:b/>
          <w:bCs/>
          <w:color w:val="auto"/>
          <w:sz w:val="28"/>
          <w:szCs w:val="28"/>
          <w:lang w:eastAsia="zh-CN"/>
        </w:rPr>
        <w:t>（十七）响应文件</w:t>
      </w:r>
      <w:r>
        <w:rPr>
          <w:rFonts w:hint="eastAsia" w:ascii="仿宋" w:hAnsi="仿宋" w:eastAsia="仿宋" w:cs="仿宋"/>
          <w:b/>
          <w:bCs/>
          <w:color w:val="auto"/>
          <w:sz w:val="28"/>
          <w:szCs w:val="28"/>
        </w:rPr>
        <w:t>的上传</w:t>
      </w:r>
    </w:p>
    <w:p w14:paraId="460C56D7">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（1）电子加密响应文件（“.jmbs”格式）：</w:t>
      </w:r>
    </w:p>
    <w:p w14:paraId="6B05C8BF">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a. 供应商应在投标截止时间前将电子加密响应文件成功上传递交至新疆政府采购云平台，否则投标无效；</w:t>
      </w:r>
    </w:p>
    <w:p w14:paraId="2084E5CA">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b.供应商成功上传电子加密响应文件后，可自行打印响应文件接收回执。</w:t>
      </w:r>
    </w:p>
    <w:p w14:paraId="16E424FD">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（2）备份响应文件（“.bfbs”格式）：</w:t>
      </w:r>
    </w:p>
    <w:p w14:paraId="6EB936FD">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a.供应商可以将备份响应文件打包压缩并加密，压缩包命名为“XX单位备份响应文件”，加密密码由供应商自行保管；送达时间以采购代理机构实际接收时间为准。“备份响应文件”以投标截止时间前指定接收邮箱最终收到的文件为准，逾期或未按要求提供的视为未提供，建议供应商提前1日办理邮件提供事宜（接收人邮箱：</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"mailto:1207446769@qq.com，接收人：陈加轲，电话：15157655122"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lang w:val="en-US" w:eastAsia="zh-CN"/>
        </w:rPr>
        <w:t>1805011525</w:t>
      </w:r>
      <w:r>
        <w:rPr>
          <w:rFonts w:hint="eastAsia" w:ascii="仿宋" w:hAnsi="仿宋" w:eastAsia="仿宋" w:cs="仿宋"/>
          <w:color w:val="auto"/>
          <w:sz w:val="28"/>
          <w:szCs w:val="28"/>
        </w:rPr>
        <w:t>@qq.com，接收人：</w:t>
      </w:r>
      <w:r>
        <w:rPr>
          <w:rFonts w:hint="eastAsia" w:ascii="仿宋" w:hAnsi="仿宋" w:eastAsia="仿宋" w:cs="仿宋"/>
          <w:color w:val="auto"/>
          <w:sz w:val="28"/>
          <w:szCs w:val="28"/>
          <w:lang w:val="en-US" w:eastAsia="zh-CN"/>
        </w:rPr>
        <w:t>罗先生</w:t>
      </w:r>
      <w:r>
        <w:rPr>
          <w:rFonts w:hint="eastAsia" w:ascii="仿宋" w:hAnsi="仿宋" w:eastAsia="仿宋" w:cs="仿宋"/>
          <w:color w:val="auto"/>
          <w:sz w:val="28"/>
          <w:szCs w:val="28"/>
        </w:rPr>
        <w:t>，电话：1</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lang w:val="en-US" w:eastAsia="zh-CN"/>
        </w:rPr>
        <w:t>6698959998</w:t>
      </w:r>
      <w:r>
        <w:rPr>
          <w:rFonts w:hint="eastAsia" w:ascii="仿宋" w:hAnsi="仿宋" w:eastAsia="仿宋" w:cs="仿宋"/>
          <w:color w:val="auto"/>
          <w:sz w:val="28"/>
          <w:szCs w:val="28"/>
        </w:rPr>
        <w:t>）；</w:t>
      </w:r>
    </w:p>
    <w:p w14:paraId="06CF2D24">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b.通过“新疆政府采购云平台”成功上传递交的“电子加密响应文件”已按时解密的，“备份响应文件”自动失效。投标截止时间前，投标供应商仅递交了“备份响应文件”而未将“电子加密响应文件”成功上传至“政府采购云平台”的，投标无效。</w:t>
      </w:r>
    </w:p>
    <w:p w14:paraId="4EA4CBC3">
      <w:pPr>
        <w:pStyle w:val="5"/>
        <w:snapToGrid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（十八）响应文件</w:t>
      </w:r>
      <w:r>
        <w:rPr>
          <w:rFonts w:hint="eastAsia" w:ascii="仿宋" w:hAnsi="仿宋" w:eastAsia="仿宋" w:cs="仿宋"/>
          <w:b/>
          <w:bCs/>
          <w:color w:val="auto"/>
          <w:sz w:val="28"/>
          <w:szCs w:val="28"/>
        </w:rPr>
        <w:t>的递交要求</w:t>
      </w:r>
    </w:p>
    <w:p w14:paraId="34EC18B7">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（1）供应商须按照</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和政采云平台的要求编制并加密</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。在</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递交截止时间以前完成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的传输递交，截止时间后递交的</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，将被拒收。</w:t>
      </w:r>
    </w:p>
    <w:p w14:paraId="10239C39">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（2）备份电子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必须在投标截止时间前送达指定的投标地点。备份电子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在截止时间后提交，采购组织机构将拒绝接收。</w:t>
      </w:r>
    </w:p>
    <w:p w14:paraId="0644CBA4">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（3）如有特殊情况，采购组织机构延长截止时间和开标时间，采购组织机构和供应商的权利和义务将受到新的截止时间和开标时间的约束。</w:t>
      </w:r>
    </w:p>
    <w:p w14:paraId="149AE539">
      <w:pPr>
        <w:pStyle w:val="5"/>
        <w:snapToGrid w:val="0"/>
        <w:spacing w:line="360" w:lineRule="auto"/>
        <w:rPr>
          <w:rFonts w:hint="eastAsia" w:ascii="仿宋" w:hAnsi="仿宋" w:eastAsia="仿宋" w:cs="仿宋"/>
          <w:color w:val="auto"/>
          <w:sz w:val="28"/>
          <w:szCs w:val="28"/>
          <w:lang w:eastAsia="zh-CN"/>
        </w:rPr>
      </w:pPr>
      <w:r>
        <w:rPr>
          <w:rFonts w:hint="eastAsia" w:ascii="仿宋" w:hAnsi="仿宋" w:eastAsia="仿宋" w:cs="仿宋"/>
          <w:b/>
          <w:bCs/>
          <w:color w:val="auto"/>
          <w:sz w:val="28"/>
          <w:szCs w:val="28"/>
          <w:lang w:eastAsia="zh-CN"/>
        </w:rPr>
        <w:t>（十九）响应文件的补充、修改与撤回</w:t>
      </w:r>
    </w:p>
    <w:p w14:paraId="13190FDD">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供应商应当在投标截止时间前完成电子交易文件的传输递交，投标截止时间前可以补充、修改或者撤回电子交易文件。补充或者修改电子交易文件的，应当先行撤回原文件，补充、修改后重新传输递交。投标截止时间前未完成传输的，视为</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撤回。投标截止时间后传输递交的</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，“政府采购云平台”将予以拒收。投标截止时间后，供应商不得修改（补充）或撤回其</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w:t>
      </w:r>
    </w:p>
    <w:p w14:paraId="74236C46">
      <w:pPr>
        <w:pStyle w:val="4"/>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五、无效标、废标条款</w:t>
      </w:r>
      <w:bookmarkStart w:id="7" w:name="_Toc452657556"/>
      <w:bookmarkStart w:id="8" w:name="_Toc497129141"/>
    </w:p>
    <w:p w14:paraId="54B5B7C9">
      <w:pPr>
        <w:spacing w:line="440" w:lineRule="exact"/>
        <w:ind w:firstLine="285" w:firstLineChars="100"/>
        <w:rPr>
          <w:rFonts w:hint="eastAsia" w:ascii="仿宋" w:hAnsi="仿宋" w:eastAsia="仿宋" w:cs="仿宋"/>
          <w:b/>
          <w:bCs/>
          <w:color w:val="auto"/>
          <w:sz w:val="28"/>
          <w:szCs w:val="28"/>
          <w:lang w:val="en-US" w:eastAsia="zh-CN" w:bidi="en-US"/>
        </w:rPr>
      </w:pPr>
      <w:r>
        <w:rPr>
          <w:rFonts w:hint="eastAsia" w:ascii="仿宋" w:hAnsi="仿宋" w:eastAsia="仿宋" w:cs="仿宋"/>
          <w:b/>
          <w:bCs/>
          <w:color w:val="auto"/>
          <w:sz w:val="28"/>
          <w:szCs w:val="28"/>
          <w:lang w:val="en-US" w:eastAsia="zh-CN" w:bidi="en-US"/>
        </w:rPr>
        <w:t>（二十）无效标</w:t>
      </w:r>
    </w:p>
    <w:p w14:paraId="1B0F9745">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有下列情形之一的，响应文件按无效标处理：</w:t>
      </w:r>
    </w:p>
    <w:p w14:paraId="1F2B2739">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报名的投标人与参加投标的投标人发生实质性变更的且未提供有效证明的；</w:t>
      </w:r>
    </w:p>
    <w:p w14:paraId="4A30E61E">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投标人提交两份或两份以上内容不同的响应文件，未声明哪一份有效的；</w:t>
      </w:r>
    </w:p>
    <w:p w14:paraId="32168D2C">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3、响应文件非投标人法定代表人签署的，未提供或提供无效的法定代表人授权书；</w:t>
      </w:r>
    </w:p>
    <w:p w14:paraId="5CD52FD7">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eastAsia="zh-CN"/>
        </w:rPr>
        <w:t>、响应文件内容未按谈判文件规定签章或盖章的；</w:t>
      </w:r>
    </w:p>
    <w:p w14:paraId="5C4FC420">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lang w:eastAsia="zh-CN"/>
        </w:rPr>
        <w:t xml:space="preserve"> 投标人未按谈判文件变更通知更改响应文件的；</w:t>
      </w:r>
    </w:p>
    <w:p w14:paraId="5AB828B0">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lang w:eastAsia="zh-CN"/>
        </w:rPr>
        <w:t>、《开标一览表》和《投标分项报价表》内容不完整且不接受修正意见或字迹不能辨认的或未提供；</w:t>
      </w:r>
    </w:p>
    <w:p w14:paraId="687D95FE">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lang w:eastAsia="zh-CN"/>
        </w:rPr>
        <w:t>、标项投标报价超过谈判文件规定的预算金额或最高限价</w:t>
      </w:r>
    </w:p>
    <w:p w14:paraId="50187D79">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8</w:t>
      </w:r>
      <w:r>
        <w:rPr>
          <w:rFonts w:hint="eastAsia" w:ascii="仿宋" w:hAnsi="仿宋" w:eastAsia="仿宋" w:cs="仿宋"/>
          <w:color w:val="auto"/>
          <w:sz w:val="28"/>
          <w:szCs w:val="28"/>
          <w:lang w:eastAsia="zh-CN"/>
        </w:rPr>
        <w:t xml:space="preserve"> 、因投标人原因编制错误造成经评标委员会修正后的报价达到或超过投标报价的0.5%；</w:t>
      </w:r>
    </w:p>
    <w:p w14:paraId="62841C10">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lang w:eastAsia="zh-CN"/>
        </w:rPr>
        <w:t>、投标人的报价明显低于其他通过符合性审查投标人的报价，有可能影响产品质量或者不能诚信履约的，且在规定时间内不能合理说明原因并提供证明材料的；</w:t>
      </w:r>
    </w:p>
    <w:p w14:paraId="13824DDD">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lang w:eastAsia="zh-CN"/>
        </w:rPr>
        <w:t>未实质性响应谈判文件中条款要求的响应文件；</w:t>
      </w:r>
    </w:p>
    <w:p w14:paraId="7B82A088">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eastAsia="zh-CN"/>
        </w:rPr>
        <w:t>、不符合招标范围、技术规格、技术标准的要求无法满足采购人使用要求；</w:t>
      </w:r>
    </w:p>
    <w:p w14:paraId="3FD4C78D">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、响应文件附有采购人不能接受的条款；</w:t>
      </w:r>
    </w:p>
    <w:p w14:paraId="1721DFE0">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、响应文件中提供了赠品或者与本项目采购无关的其他商品、服务；</w:t>
      </w:r>
    </w:p>
    <w:p w14:paraId="24CBD932">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eastAsia="zh-CN"/>
        </w:rPr>
        <w:t>、响应文件中承诺的投标有效期少于谈判文件中载明的投标有效期；</w:t>
      </w:r>
    </w:p>
    <w:p w14:paraId="122E7C04">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lang w:eastAsia="zh-CN"/>
        </w:rPr>
        <w:t>、投标人串通投标，妨碍其他投标人的竞争行为，损害采购人或者其他投标人的合法权益；</w:t>
      </w:r>
    </w:p>
    <w:p w14:paraId="466998C0">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lang w:eastAsia="zh-CN"/>
        </w:rPr>
        <w:t>、违反国家及政府部门相关法律、法规、文件规定或经评标委员会认定的其他属于重大偏离；</w:t>
      </w:r>
    </w:p>
    <w:p w14:paraId="7F57CAEC">
      <w:pPr>
        <w:spacing w:line="440" w:lineRule="exact"/>
        <w:ind w:firstLine="285" w:firstLineChars="100"/>
        <w:rPr>
          <w:rFonts w:hint="eastAsia" w:ascii="仿宋" w:hAnsi="仿宋" w:eastAsia="仿宋" w:cs="仿宋"/>
          <w:b/>
          <w:bCs/>
          <w:color w:val="auto"/>
          <w:sz w:val="28"/>
          <w:szCs w:val="28"/>
          <w:lang w:val="en-US" w:eastAsia="zh-CN" w:bidi="en-US"/>
        </w:rPr>
      </w:pPr>
      <w:r>
        <w:rPr>
          <w:rFonts w:hint="eastAsia" w:ascii="仿宋" w:hAnsi="仿宋" w:eastAsia="仿宋" w:cs="仿宋"/>
          <w:b/>
          <w:bCs/>
          <w:color w:val="auto"/>
          <w:sz w:val="28"/>
          <w:szCs w:val="28"/>
          <w:lang w:val="en-US" w:eastAsia="zh-CN" w:bidi="en-US"/>
        </w:rPr>
        <w:t>（二十一）废标</w:t>
      </w:r>
    </w:p>
    <w:p w14:paraId="1F5007E1">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eastAsia="zh-CN"/>
        </w:rPr>
        <w:t>符合谈判文件规定废标情形的；</w:t>
      </w:r>
    </w:p>
    <w:p w14:paraId="69D39217">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出现影响采购公正的违法、违规行为的；</w:t>
      </w:r>
    </w:p>
    <w:p w14:paraId="3DDC4AF4">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供应商的报价均超过了采购预算（或最高限价），采购人不能支付的;</w:t>
      </w:r>
    </w:p>
    <w:p w14:paraId="66C06DCF">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eastAsia="zh-CN"/>
        </w:rPr>
        <w:t>因重大变故，采购任务取消的。</w:t>
      </w:r>
    </w:p>
    <w:p w14:paraId="54D5EC73">
      <w:pPr>
        <w:spacing w:line="440" w:lineRule="exact"/>
        <w:ind w:firstLine="285" w:firstLineChars="1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（二十二）突发情况处理</w:t>
      </w:r>
    </w:p>
    <w:p w14:paraId="405AD129">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 采购过程中出现以下情形，导致电子交易平台无法正常运行，或者无法保证电子交易的公平、公正和安全时，采购组织机构可中止电子交易活动：</w:t>
      </w:r>
    </w:p>
    <w:p w14:paraId="7081F128">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（1）电子交易平台发生故障而无法登录访问的； </w:t>
      </w:r>
    </w:p>
    <w:p w14:paraId="2B96EDD2">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（2）电子交易平台应用或数据库出现错误，不能进行正常操作的；</w:t>
      </w:r>
    </w:p>
    <w:p w14:paraId="6D784E84">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（3）电子交易平台发现严重安全漏洞，有潜在泄密危险的；</w:t>
      </w:r>
    </w:p>
    <w:p w14:paraId="41988AFA">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（4）病毒发作导致不能进行正常操作的； </w:t>
      </w:r>
    </w:p>
    <w:p w14:paraId="1BFD3820">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（5）其他无法保证电子交易的公平、公正和安全的情况。</w:t>
      </w:r>
    </w:p>
    <w:p w14:paraId="743ACD3E">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出现前款规定情形，不影响采购公平、公正性的，采购组织机构可以待上述情形消除后继续组织电子交易活动，也可以决定某些环节以纸质形式进行；影响或可能影响采购公平、公正性的，应当重新采购。</w:t>
      </w:r>
    </w:p>
    <w:p w14:paraId="37339F5F">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lang w:eastAsia="zh-CN"/>
        </w:rPr>
        <w:t>采购代理机构或评审小组因不可抗力（不可抗力包括但不限于自然灾害、断电、传播疫病等）原因造成电子交易活动无法正常运行的，将采取以下措施：</w:t>
      </w:r>
    </w:p>
    <w:p w14:paraId="34B9CA61">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（1）短时间内能消除不可抗力因素的，采购代理机构或评审小组在消除不可抗力因素后继续组织电子交易活动； </w:t>
      </w:r>
    </w:p>
    <w:p w14:paraId="443E3D92">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（2）长时间内无法消除不可抗力因素的，采购代理机构或评审小组将中止电子交易活动。中止电子交易活动的，采购人应当重新组织政府采购活动。</w:t>
      </w:r>
    </w:p>
    <w:p w14:paraId="0C0CDC45">
      <w:pPr>
        <w:pStyle w:val="24"/>
        <w:rPr>
          <w:rFonts w:hint="eastAsia" w:ascii="仿宋" w:hAnsi="仿宋" w:eastAsia="仿宋" w:cs="仿宋"/>
          <w:color w:val="auto"/>
          <w:sz w:val="28"/>
          <w:szCs w:val="28"/>
          <w:lang w:eastAsia="zh-CN"/>
        </w:rPr>
      </w:pPr>
    </w:p>
    <w:p w14:paraId="09E13711">
      <w:pPr>
        <w:pStyle w:val="4"/>
        <w:rPr>
          <w:rFonts w:hint="eastAsia" w:ascii="仿宋" w:hAnsi="仿宋" w:eastAsia="仿宋" w:cs="仿宋"/>
          <w:color w:val="auto"/>
          <w:sz w:val="28"/>
          <w:szCs w:val="28"/>
        </w:rPr>
      </w:pPr>
      <w:r>
        <w:rPr>
          <w:rFonts w:hint="eastAsia" w:ascii="仿宋" w:hAnsi="仿宋" w:eastAsia="仿宋" w:cs="仿宋"/>
          <w:color w:val="auto"/>
          <w:sz w:val="28"/>
          <w:szCs w:val="28"/>
        </w:rPr>
        <w:t>六、开标</w:t>
      </w:r>
      <w:r>
        <w:rPr>
          <w:rFonts w:hint="eastAsia" w:ascii="仿宋" w:hAnsi="仿宋" w:eastAsia="仿宋" w:cs="仿宋"/>
          <w:color w:val="auto"/>
          <w:sz w:val="28"/>
          <w:szCs w:val="28"/>
          <w:lang w:eastAsia="zh-CN"/>
        </w:rPr>
        <w:t>、评标和定标</w:t>
      </w:r>
      <w:bookmarkEnd w:id="7"/>
      <w:bookmarkEnd w:id="8"/>
    </w:p>
    <w:p w14:paraId="43E51C7C">
      <w:pPr>
        <w:snapToGrid w:val="0"/>
        <w:spacing w:line="360" w:lineRule="auto"/>
        <w:ind w:firstLine="418" w:firstLineChars="147"/>
        <w:rPr>
          <w:rFonts w:hint="eastAsia" w:ascii="仿宋" w:hAnsi="仿宋" w:eastAsia="仿宋" w:cs="仿宋"/>
          <w:b/>
          <w:bCs/>
          <w:color w:val="auto"/>
          <w:sz w:val="28"/>
          <w:szCs w:val="28"/>
        </w:rPr>
      </w:pPr>
      <w:r>
        <w:rPr>
          <w:rFonts w:hint="eastAsia" w:ascii="仿宋" w:hAnsi="仿宋" w:eastAsia="仿宋" w:cs="仿宋"/>
          <w:b/>
          <w:bCs/>
          <w:color w:val="auto"/>
          <w:sz w:val="28"/>
          <w:szCs w:val="28"/>
        </w:rPr>
        <w:t>（二十</w:t>
      </w:r>
      <w:r>
        <w:rPr>
          <w:rFonts w:hint="eastAsia" w:ascii="仿宋" w:hAnsi="仿宋" w:eastAsia="仿宋" w:cs="仿宋"/>
          <w:b/>
          <w:bCs/>
          <w:color w:val="auto"/>
          <w:sz w:val="28"/>
          <w:szCs w:val="28"/>
          <w:lang w:eastAsia="zh-CN"/>
        </w:rPr>
        <w:t>三</w:t>
      </w:r>
      <w:r>
        <w:rPr>
          <w:rFonts w:hint="eastAsia" w:ascii="仿宋" w:hAnsi="仿宋" w:eastAsia="仿宋" w:cs="仿宋"/>
          <w:b/>
          <w:bCs/>
          <w:color w:val="auto"/>
          <w:sz w:val="28"/>
          <w:szCs w:val="28"/>
        </w:rPr>
        <w:t>）开标程序（先资格、商务技术后报价）</w:t>
      </w:r>
    </w:p>
    <w:p w14:paraId="751320A1">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rPr>
        <w:t>开标时间到后，主持人宣布开标会议开始。</w:t>
      </w:r>
    </w:p>
    <w:p w14:paraId="60EE1265">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（2）响应文件</w:t>
      </w:r>
      <w:r>
        <w:rPr>
          <w:rFonts w:hint="eastAsia" w:ascii="仿宋" w:hAnsi="仿宋" w:eastAsia="仿宋" w:cs="仿宋"/>
          <w:color w:val="auto"/>
          <w:sz w:val="28"/>
          <w:szCs w:val="28"/>
        </w:rPr>
        <w:t>解密（</w:t>
      </w:r>
      <w:r>
        <w:rPr>
          <w:rFonts w:hint="eastAsia" w:ascii="仿宋" w:hAnsi="仿宋" w:eastAsia="仿宋" w:cs="仿宋"/>
          <w:b/>
          <w:color w:val="auto"/>
          <w:sz w:val="28"/>
          <w:szCs w:val="28"/>
        </w:rPr>
        <w:t>解密规定见《供应商须知前附表》</w:t>
      </w:r>
      <w:r>
        <w:rPr>
          <w:rFonts w:hint="eastAsia" w:ascii="仿宋" w:hAnsi="仿宋" w:eastAsia="仿宋" w:cs="仿宋"/>
          <w:color w:val="auto"/>
          <w:sz w:val="28"/>
          <w:szCs w:val="28"/>
        </w:rPr>
        <w:t>）。</w:t>
      </w:r>
    </w:p>
    <w:p w14:paraId="09416208">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（3）响应文件</w:t>
      </w:r>
      <w:r>
        <w:rPr>
          <w:rFonts w:hint="eastAsia" w:ascii="仿宋" w:hAnsi="仿宋" w:eastAsia="仿宋" w:cs="仿宋"/>
          <w:color w:val="auto"/>
          <w:sz w:val="28"/>
          <w:szCs w:val="28"/>
        </w:rPr>
        <w:t>解密异常情况处理（</w:t>
      </w:r>
      <w:r>
        <w:rPr>
          <w:rFonts w:hint="eastAsia" w:ascii="仿宋" w:hAnsi="仿宋" w:eastAsia="仿宋" w:cs="仿宋"/>
          <w:b/>
          <w:color w:val="auto"/>
          <w:sz w:val="28"/>
          <w:szCs w:val="28"/>
        </w:rPr>
        <w:t>处理办法见《供应商须知前附表》</w:t>
      </w:r>
      <w:r>
        <w:rPr>
          <w:rFonts w:hint="eastAsia" w:ascii="仿宋" w:hAnsi="仿宋" w:eastAsia="仿宋" w:cs="仿宋"/>
          <w:color w:val="auto"/>
          <w:sz w:val="28"/>
          <w:szCs w:val="28"/>
        </w:rPr>
        <w:t>）。</w:t>
      </w:r>
    </w:p>
    <w:p w14:paraId="63BC85C3">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（4）</w:t>
      </w:r>
      <w:r>
        <w:rPr>
          <w:rFonts w:hint="eastAsia" w:ascii="仿宋" w:hAnsi="仿宋" w:eastAsia="仿宋" w:cs="仿宋"/>
          <w:color w:val="auto"/>
          <w:sz w:val="28"/>
          <w:szCs w:val="28"/>
        </w:rPr>
        <w:t>公布</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解密情况（</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成功解密的供应商名单等信息），组织签署</w:t>
      </w:r>
      <w:r>
        <w:rPr>
          <w:rFonts w:hint="eastAsia" w:ascii="仿宋" w:hAnsi="仿宋" w:eastAsia="仿宋" w:cs="仿宋"/>
          <w:b/>
          <w:bCs/>
          <w:color w:val="auto"/>
          <w:sz w:val="28"/>
          <w:szCs w:val="28"/>
        </w:rPr>
        <w:t>《政府采购活动现场确认声明书》（将通过电子邮件形式组织签署），供应商应在20分钟内通过邮件形式将经签署的《政府采购活动现场确认声明书》发送至采购代理机构指定邮箱</w:t>
      </w:r>
      <w:r>
        <w:rPr>
          <w:rFonts w:hint="eastAsia" w:ascii="仿宋" w:hAnsi="仿宋" w:eastAsia="仿宋" w:cs="仿宋"/>
          <w:b/>
          <w:bCs/>
          <w:color w:val="auto"/>
          <w:sz w:val="28"/>
          <w:szCs w:val="28"/>
          <w:lang w:val="en-US" w:eastAsia="zh-CN"/>
        </w:rPr>
        <w:t>1805011525</w:t>
      </w:r>
      <w:r>
        <w:rPr>
          <w:rFonts w:hint="eastAsia" w:ascii="仿宋" w:hAnsi="仿宋" w:eastAsia="仿宋" w:cs="仿宋"/>
          <w:b/>
          <w:bCs/>
          <w:color w:val="auto"/>
          <w:sz w:val="28"/>
          <w:szCs w:val="28"/>
          <w:lang w:eastAsia="zh-CN"/>
        </w:rPr>
        <w:t>@qq.com</w:t>
      </w:r>
      <w:r>
        <w:rPr>
          <w:rFonts w:hint="eastAsia" w:ascii="仿宋" w:hAnsi="仿宋" w:eastAsia="仿宋" w:cs="仿宋"/>
          <w:b/>
          <w:bCs/>
          <w:color w:val="auto"/>
          <w:sz w:val="28"/>
          <w:szCs w:val="28"/>
        </w:rPr>
        <w:t xml:space="preserve"> ，逾期发送或未发送的视为无异议</w:t>
      </w:r>
      <w:r>
        <w:rPr>
          <w:rFonts w:hint="eastAsia" w:ascii="仿宋" w:hAnsi="仿宋" w:eastAsia="仿宋" w:cs="仿宋"/>
          <w:color w:val="auto"/>
          <w:sz w:val="28"/>
          <w:szCs w:val="28"/>
        </w:rPr>
        <w:t>。</w:t>
      </w:r>
    </w:p>
    <w:p w14:paraId="393C2414">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（5）</w:t>
      </w:r>
      <w:r>
        <w:rPr>
          <w:rFonts w:hint="eastAsia" w:ascii="仿宋" w:hAnsi="仿宋" w:eastAsia="仿宋" w:cs="仿宋"/>
          <w:color w:val="auto"/>
          <w:sz w:val="28"/>
          <w:szCs w:val="28"/>
        </w:rPr>
        <w:t>开启标书信息（资格</w:t>
      </w:r>
      <w:r>
        <w:rPr>
          <w:rFonts w:hint="eastAsia" w:ascii="仿宋" w:hAnsi="仿宋" w:eastAsia="仿宋" w:cs="仿宋"/>
          <w:color w:val="auto"/>
          <w:sz w:val="28"/>
          <w:szCs w:val="28"/>
          <w:lang w:eastAsia="zh-CN"/>
        </w:rPr>
        <w:t>证明</w:t>
      </w:r>
      <w:r>
        <w:rPr>
          <w:rFonts w:hint="eastAsia" w:ascii="仿宋" w:hAnsi="仿宋" w:eastAsia="仿宋" w:cs="仿宋"/>
          <w:color w:val="auto"/>
          <w:sz w:val="28"/>
          <w:szCs w:val="28"/>
        </w:rPr>
        <w:t>文件、商务技术文件）。标书信息开启后，首先由采购人或采购代理机构</w:t>
      </w:r>
      <w:r>
        <w:rPr>
          <w:rFonts w:hint="eastAsia" w:ascii="仿宋" w:hAnsi="仿宋" w:eastAsia="仿宋" w:cs="仿宋"/>
          <w:color w:val="auto"/>
          <w:sz w:val="28"/>
          <w:szCs w:val="28"/>
          <w:lang w:eastAsia="zh-CN"/>
        </w:rPr>
        <w:t>或评审小组</w:t>
      </w:r>
      <w:r>
        <w:rPr>
          <w:rFonts w:hint="eastAsia" w:ascii="仿宋" w:hAnsi="仿宋" w:eastAsia="仿宋" w:cs="仿宋"/>
          <w:color w:val="auto"/>
          <w:sz w:val="28"/>
          <w:szCs w:val="28"/>
        </w:rPr>
        <w:t>依法对投标供应商的资格</w:t>
      </w:r>
      <w:r>
        <w:rPr>
          <w:rFonts w:hint="eastAsia" w:ascii="仿宋" w:hAnsi="仿宋" w:eastAsia="仿宋" w:cs="仿宋"/>
          <w:color w:val="auto"/>
          <w:sz w:val="28"/>
          <w:szCs w:val="28"/>
          <w:lang w:eastAsia="zh-CN"/>
        </w:rPr>
        <w:t>证明</w:t>
      </w:r>
      <w:r>
        <w:rPr>
          <w:rFonts w:hint="eastAsia" w:ascii="仿宋" w:hAnsi="仿宋" w:eastAsia="仿宋" w:cs="仿宋"/>
          <w:color w:val="auto"/>
          <w:sz w:val="28"/>
          <w:szCs w:val="28"/>
        </w:rPr>
        <w:t>文件进行审查（具体见资格性检查）， 审查结束公布投标供应商的资格符合情况。资格审查未获通过的供应商，其商务技术文件及报价文件不再进入评审。</w:t>
      </w:r>
    </w:p>
    <w:p w14:paraId="574FF55F">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（6）</w:t>
      </w:r>
      <w:r>
        <w:rPr>
          <w:rFonts w:hint="eastAsia" w:ascii="仿宋" w:hAnsi="仿宋" w:eastAsia="仿宋" w:cs="仿宋"/>
          <w:color w:val="auto"/>
          <w:sz w:val="28"/>
          <w:szCs w:val="28"/>
        </w:rPr>
        <w:t>开启有效投标供应商的报价，公布开标一览表有关内容，</w:t>
      </w:r>
      <w:r>
        <w:rPr>
          <w:rFonts w:hint="eastAsia" w:ascii="仿宋" w:hAnsi="仿宋" w:eastAsia="仿宋" w:cs="仿宋"/>
          <w:color w:val="auto"/>
          <w:sz w:val="28"/>
          <w:szCs w:val="28"/>
          <w:lang w:bidi="zh-CN"/>
        </w:rPr>
        <w:t>并【开启签章时段】，供应商对开标记录进行在线签章确认（不予确认的应说明理由，否则视为无异议）</w:t>
      </w:r>
      <w:r>
        <w:rPr>
          <w:rFonts w:hint="eastAsia" w:ascii="仿宋" w:hAnsi="仿宋" w:eastAsia="仿宋" w:cs="仿宋"/>
          <w:color w:val="auto"/>
          <w:sz w:val="28"/>
          <w:szCs w:val="28"/>
        </w:rPr>
        <w:t>。开标结束后，由评标委员会对报价的合理性、准确性等进行审查核实。</w:t>
      </w:r>
    </w:p>
    <w:p w14:paraId="6185BE9D">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（7）商务技术评审结束后，主持人公布商务技术评审无效投标供应商名单和商务技术评审有效投标供应商名单。商务技术评审无效的供应商，其报价不再进入评审。</w:t>
      </w:r>
    </w:p>
    <w:p w14:paraId="2FAA0B74">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（8）</w:t>
      </w:r>
      <w:r>
        <w:rPr>
          <w:rFonts w:hint="eastAsia" w:ascii="仿宋" w:hAnsi="仿宋" w:eastAsia="仿宋" w:cs="仿宋"/>
          <w:color w:val="auto"/>
          <w:sz w:val="28"/>
          <w:szCs w:val="28"/>
        </w:rPr>
        <w:t>评审结束后，采购代理机构在系统上公布评审结果。</w:t>
      </w:r>
    </w:p>
    <w:p w14:paraId="7500EEC1">
      <w:pPr>
        <w:snapToGrid w:val="0"/>
        <w:spacing w:line="360" w:lineRule="auto"/>
        <w:ind w:left="480"/>
        <w:rPr>
          <w:rFonts w:hint="eastAsia" w:ascii="仿宋" w:hAnsi="仿宋" w:eastAsia="仿宋" w:cs="仿宋"/>
          <w:b/>
          <w:color w:val="auto"/>
          <w:sz w:val="28"/>
          <w:szCs w:val="28"/>
        </w:rPr>
      </w:pPr>
      <w:r>
        <w:rPr>
          <w:rFonts w:hint="eastAsia" w:ascii="仿宋" w:hAnsi="仿宋" w:eastAsia="仿宋" w:cs="仿宋"/>
          <w:b/>
          <w:color w:val="auto"/>
          <w:sz w:val="28"/>
          <w:szCs w:val="28"/>
        </w:rPr>
        <w:t>特别情况说明：</w:t>
      </w:r>
    </w:p>
    <w:p w14:paraId="24FF8D4B">
      <w:pPr>
        <w:snapToGrid w:val="0"/>
        <w:spacing w:line="360" w:lineRule="auto"/>
        <w:ind w:firstLine="503" w:firstLineChars="177"/>
        <w:rPr>
          <w:rFonts w:hint="eastAsia" w:ascii="仿宋" w:hAnsi="仿宋" w:eastAsia="仿宋" w:cs="仿宋"/>
          <w:b/>
          <w:color w:val="auto"/>
          <w:sz w:val="28"/>
          <w:szCs w:val="28"/>
        </w:rPr>
      </w:pPr>
      <w:r>
        <w:rPr>
          <w:rFonts w:hint="eastAsia" w:ascii="仿宋" w:hAnsi="仿宋" w:eastAsia="仿宋" w:cs="仿宋"/>
          <w:b/>
          <w:color w:val="auto"/>
          <w:sz w:val="28"/>
          <w:szCs w:val="28"/>
        </w:rPr>
        <w:t>（1）本项目采用电子交易，如遇“</w:t>
      </w:r>
      <w:r>
        <w:rPr>
          <w:rFonts w:hint="eastAsia" w:ascii="仿宋" w:hAnsi="仿宋" w:eastAsia="仿宋" w:cs="仿宋"/>
          <w:b/>
          <w:color w:val="auto"/>
          <w:sz w:val="28"/>
          <w:szCs w:val="28"/>
          <w:lang w:eastAsia="zh-CN"/>
        </w:rPr>
        <w:t>新疆</w:t>
      </w:r>
      <w:r>
        <w:rPr>
          <w:rFonts w:hint="eastAsia" w:ascii="仿宋" w:hAnsi="仿宋" w:eastAsia="仿宋" w:cs="仿宋"/>
          <w:b/>
          <w:color w:val="auto"/>
          <w:sz w:val="28"/>
          <w:szCs w:val="28"/>
        </w:rPr>
        <w:t>政府采购云平台”电子化开标或评审程序调整的，按调整后程序执行。</w:t>
      </w:r>
    </w:p>
    <w:p w14:paraId="69A330E6">
      <w:pPr>
        <w:snapToGrid w:val="0"/>
        <w:spacing w:line="360" w:lineRule="auto"/>
        <w:ind w:firstLine="503" w:firstLineChars="177"/>
        <w:rPr>
          <w:rFonts w:hint="eastAsia" w:ascii="仿宋" w:hAnsi="仿宋" w:eastAsia="仿宋" w:cs="仿宋"/>
          <w:b/>
          <w:color w:val="auto"/>
          <w:sz w:val="28"/>
          <w:szCs w:val="28"/>
        </w:rPr>
      </w:pPr>
      <w:r>
        <w:rPr>
          <w:rFonts w:hint="eastAsia" w:ascii="仿宋" w:hAnsi="仿宋" w:eastAsia="仿宋" w:cs="仿宋"/>
          <w:b/>
          <w:color w:val="auto"/>
          <w:sz w:val="28"/>
          <w:szCs w:val="28"/>
        </w:rPr>
        <w:t>（2）开标过程中需要相关当事人进行</w:t>
      </w:r>
      <w:r>
        <w:rPr>
          <w:rFonts w:hint="eastAsia" w:ascii="仿宋" w:hAnsi="仿宋" w:eastAsia="仿宋" w:cs="仿宋"/>
          <w:b/>
          <w:color w:val="auto"/>
          <w:sz w:val="28"/>
          <w:szCs w:val="28"/>
          <w:lang w:eastAsia="zh-CN"/>
        </w:rPr>
        <w:t>签章</w:t>
      </w:r>
      <w:r>
        <w:rPr>
          <w:rFonts w:hint="eastAsia" w:ascii="仿宋" w:hAnsi="仿宋" w:eastAsia="仿宋" w:cs="仿宋"/>
          <w:b/>
          <w:color w:val="auto"/>
          <w:sz w:val="28"/>
          <w:szCs w:val="28"/>
        </w:rPr>
        <w:t>或盖章确认的材料将通过“政府采购云平台”进行，若因“政府采购云平台”技术问题无法进行</w:t>
      </w:r>
      <w:r>
        <w:rPr>
          <w:rFonts w:hint="eastAsia" w:ascii="仿宋" w:hAnsi="仿宋" w:eastAsia="仿宋" w:cs="仿宋"/>
          <w:b/>
          <w:color w:val="auto"/>
          <w:sz w:val="28"/>
          <w:szCs w:val="28"/>
          <w:lang w:eastAsia="zh-CN"/>
        </w:rPr>
        <w:t>签章</w:t>
      </w:r>
      <w:r>
        <w:rPr>
          <w:rFonts w:hint="eastAsia" w:ascii="仿宋" w:hAnsi="仿宋" w:eastAsia="仿宋" w:cs="仿宋"/>
          <w:b/>
          <w:color w:val="auto"/>
          <w:sz w:val="28"/>
          <w:szCs w:val="28"/>
        </w:rPr>
        <w:t>或盖章确认的，采购组织机构将通过电子邮件等形式予以确认，</w:t>
      </w:r>
      <w:r>
        <w:rPr>
          <w:rFonts w:hint="eastAsia" w:ascii="仿宋" w:hAnsi="仿宋" w:eastAsia="仿宋" w:cs="仿宋"/>
          <w:b/>
          <w:color w:val="auto"/>
          <w:sz w:val="28"/>
          <w:szCs w:val="28"/>
          <w:u w:val="single"/>
        </w:rPr>
        <w:t>请供应商保证办理投标事宜人员电话畅通、网络在线，</w:t>
      </w:r>
      <w:r>
        <w:rPr>
          <w:rFonts w:hint="eastAsia" w:ascii="仿宋" w:hAnsi="仿宋" w:eastAsia="仿宋" w:cs="仿宋"/>
          <w:b/>
          <w:color w:val="auto"/>
          <w:sz w:val="28"/>
          <w:szCs w:val="28"/>
          <w:u w:val="single"/>
          <w:lang w:eastAsia="zh-CN"/>
        </w:rPr>
        <w:t>签章</w:t>
      </w:r>
      <w:r>
        <w:rPr>
          <w:rFonts w:hint="eastAsia" w:ascii="仿宋" w:hAnsi="仿宋" w:eastAsia="仿宋" w:cs="仿宋"/>
          <w:b/>
          <w:color w:val="auto"/>
          <w:sz w:val="28"/>
          <w:szCs w:val="28"/>
          <w:u w:val="single"/>
        </w:rPr>
        <w:t>或盖章确认的时间为</w:t>
      </w:r>
      <w:r>
        <w:rPr>
          <w:rFonts w:hint="eastAsia" w:ascii="仿宋" w:hAnsi="仿宋" w:eastAsia="仿宋" w:cs="仿宋"/>
          <w:b/>
          <w:color w:val="auto"/>
          <w:sz w:val="28"/>
          <w:szCs w:val="28"/>
          <w:u w:val="single"/>
          <w:lang w:val="en-US" w:eastAsia="zh-CN"/>
        </w:rPr>
        <w:t>3</w:t>
      </w:r>
      <w:r>
        <w:rPr>
          <w:rFonts w:hint="eastAsia" w:ascii="仿宋" w:hAnsi="仿宋" w:eastAsia="仿宋" w:cs="仿宋"/>
          <w:b/>
          <w:color w:val="auto"/>
          <w:sz w:val="28"/>
          <w:szCs w:val="28"/>
          <w:u w:val="single"/>
        </w:rPr>
        <w:t>0分钟。如未及时</w:t>
      </w:r>
      <w:r>
        <w:rPr>
          <w:rFonts w:hint="eastAsia" w:ascii="仿宋" w:hAnsi="仿宋" w:eastAsia="仿宋" w:cs="仿宋"/>
          <w:b/>
          <w:color w:val="auto"/>
          <w:sz w:val="28"/>
          <w:szCs w:val="28"/>
          <w:u w:val="single"/>
          <w:lang w:eastAsia="zh-CN"/>
        </w:rPr>
        <w:t>签章</w:t>
      </w:r>
      <w:r>
        <w:rPr>
          <w:rFonts w:hint="eastAsia" w:ascii="仿宋" w:hAnsi="仿宋" w:eastAsia="仿宋" w:cs="仿宋"/>
          <w:b/>
          <w:color w:val="auto"/>
          <w:sz w:val="28"/>
          <w:szCs w:val="28"/>
          <w:u w:val="single"/>
        </w:rPr>
        <w:t>或盖章确认的，视为无异议</w:t>
      </w:r>
      <w:r>
        <w:rPr>
          <w:rFonts w:hint="eastAsia" w:ascii="仿宋" w:hAnsi="仿宋" w:eastAsia="仿宋" w:cs="仿宋"/>
          <w:b/>
          <w:color w:val="auto"/>
          <w:sz w:val="28"/>
          <w:szCs w:val="28"/>
        </w:rPr>
        <w:t>。</w:t>
      </w:r>
    </w:p>
    <w:p w14:paraId="29EC143A">
      <w:pPr>
        <w:snapToGrid w:val="0"/>
        <w:spacing w:line="360" w:lineRule="auto"/>
        <w:ind w:firstLine="570" w:firstLineChars="200"/>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3.</w:t>
      </w:r>
      <w:r>
        <w:rPr>
          <w:rFonts w:hint="eastAsia" w:ascii="仿宋" w:hAnsi="仿宋" w:eastAsia="仿宋" w:cs="仿宋"/>
          <w:b/>
          <w:color w:val="auto"/>
          <w:sz w:val="28"/>
          <w:szCs w:val="28"/>
        </w:rPr>
        <w:t>投标供应商资格审查：</w:t>
      </w:r>
    </w:p>
    <w:p w14:paraId="43C97FCB">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bCs/>
          <w:color w:val="auto"/>
          <w:sz w:val="28"/>
          <w:szCs w:val="28"/>
        </w:rPr>
        <w:t>开标（标书信息开启）后，采购人或采购代理机构</w:t>
      </w:r>
      <w:r>
        <w:rPr>
          <w:rFonts w:hint="eastAsia" w:ascii="仿宋" w:hAnsi="仿宋" w:eastAsia="仿宋" w:cs="仿宋"/>
          <w:bCs/>
          <w:color w:val="auto"/>
          <w:sz w:val="28"/>
          <w:szCs w:val="28"/>
          <w:lang w:eastAsia="zh-CN"/>
        </w:rPr>
        <w:t>或</w:t>
      </w:r>
      <w:r>
        <w:rPr>
          <w:rFonts w:hint="eastAsia" w:ascii="仿宋" w:hAnsi="仿宋" w:eastAsia="仿宋" w:cs="仿宋"/>
          <w:color w:val="auto"/>
          <w:sz w:val="28"/>
          <w:szCs w:val="28"/>
          <w:lang w:eastAsia="zh-CN"/>
        </w:rPr>
        <w:t>评审小组</w:t>
      </w:r>
      <w:r>
        <w:rPr>
          <w:rFonts w:hint="eastAsia" w:ascii="仿宋" w:hAnsi="仿宋" w:eastAsia="仿宋" w:cs="仿宋"/>
          <w:bCs/>
          <w:color w:val="auto"/>
          <w:sz w:val="28"/>
          <w:szCs w:val="28"/>
        </w:rPr>
        <w:t>首先依法对投标供应商的资格文件进行审查，审查各投标供应商的资格符合情况。</w:t>
      </w:r>
      <w:r>
        <w:rPr>
          <w:rFonts w:hint="eastAsia" w:ascii="仿宋" w:hAnsi="仿宋" w:eastAsia="仿宋" w:cs="仿宋"/>
          <w:color w:val="auto"/>
          <w:sz w:val="28"/>
          <w:szCs w:val="28"/>
        </w:rPr>
        <w:t>采购人或采购代理机构</w:t>
      </w:r>
      <w:r>
        <w:rPr>
          <w:rFonts w:hint="eastAsia" w:ascii="仿宋" w:hAnsi="仿宋" w:eastAsia="仿宋" w:cs="仿宋"/>
          <w:bCs/>
          <w:color w:val="auto"/>
          <w:sz w:val="28"/>
          <w:szCs w:val="28"/>
          <w:lang w:eastAsia="zh-CN"/>
        </w:rPr>
        <w:t>或</w:t>
      </w:r>
      <w:r>
        <w:rPr>
          <w:rFonts w:hint="eastAsia" w:ascii="仿宋" w:hAnsi="仿宋" w:eastAsia="仿宋" w:cs="仿宋"/>
          <w:color w:val="auto"/>
          <w:sz w:val="28"/>
          <w:szCs w:val="28"/>
          <w:lang w:eastAsia="zh-CN"/>
        </w:rPr>
        <w:t>评审小组</w:t>
      </w:r>
      <w:r>
        <w:rPr>
          <w:rFonts w:hint="eastAsia" w:ascii="仿宋" w:hAnsi="仿宋" w:eastAsia="仿宋" w:cs="仿宋"/>
          <w:color w:val="auto"/>
          <w:sz w:val="28"/>
          <w:szCs w:val="28"/>
        </w:rPr>
        <w:t>对投标供应商所提交的资格证明材料仅负审核的责任。如发现投标供应商所提交的资格证明材料不合法或与事实不符，采购人可取消其中标资格并追究投标供应商的法律责任。</w:t>
      </w:r>
    </w:p>
    <w:p w14:paraId="61BF64C4">
      <w:pPr>
        <w:pStyle w:val="5"/>
        <w:keepNext w:val="0"/>
        <w:keepLines w:val="0"/>
        <w:pageBreakBefore w:val="0"/>
        <w:widowControl w:val="0"/>
        <w:kinsoku/>
        <w:wordWrap/>
        <w:overflowPunct/>
        <w:topLinePunct w:val="0"/>
        <w:bidi w:val="0"/>
        <w:snapToGrid w:val="0"/>
        <w:spacing w:line="324" w:lineRule="auto"/>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（2）投标供应商提交的资格证明材料无法证明其符合</w:t>
      </w:r>
      <w:r>
        <w:rPr>
          <w:rFonts w:hint="eastAsia" w:ascii="仿宋" w:hAnsi="仿宋" w:eastAsia="仿宋" w:cs="仿宋"/>
          <w:bCs/>
          <w:color w:val="auto"/>
          <w:sz w:val="28"/>
          <w:szCs w:val="28"/>
          <w:lang w:eastAsia="zh-CN"/>
        </w:rPr>
        <w:t xml:space="preserve">谈判文件 </w:t>
      </w:r>
      <w:r>
        <w:rPr>
          <w:rFonts w:hint="eastAsia" w:ascii="仿宋" w:hAnsi="仿宋" w:eastAsia="仿宋" w:cs="仿宋"/>
          <w:bCs/>
          <w:color w:val="auto"/>
          <w:sz w:val="28"/>
          <w:szCs w:val="28"/>
        </w:rPr>
        <w:t>规定的“投标供应商资格要求”的，采购人或采购代理机构将对其作“资格审查不合格”处理（无效投标），并不再将其投标提交评标委员会进行后续评审。</w:t>
      </w:r>
    </w:p>
    <w:p w14:paraId="2D4E5E33">
      <w:pPr>
        <w:pStyle w:val="5"/>
        <w:keepNext w:val="0"/>
        <w:keepLines w:val="0"/>
        <w:pageBreakBefore w:val="0"/>
        <w:widowControl w:val="0"/>
        <w:kinsoku/>
        <w:wordWrap/>
        <w:overflowPunct/>
        <w:topLinePunct w:val="0"/>
        <w:bidi w:val="0"/>
        <w:snapToGrid w:val="0"/>
        <w:spacing w:line="324" w:lineRule="auto"/>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（3）供应商信用记录查询与使用：见《供应商须知前附表》。</w:t>
      </w:r>
    </w:p>
    <w:p w14:paraId="77786B77">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b/>
          <w:color w:val="auto"/>
          <w:sz w:val="28"/>
          <w:szCs w:val="28"/>
        </w:rPr>
      </w:pPr>
      <w:bookmarkStart w:id="9" w:name="_Toc213839741"/>
    </w:p>
    <w:p w14:paraId="49C13072">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（二十</w:t>
      </w:r>
      <w:r>
        <w:rPr>
          <w:rFonts w:hint="eastAsia" w:ascii="仿宋" w:hAnsi="仿宋" w:eastAsia="仿宋" w:cs="仿宋"/>
          <w:b/>
          <w:color w:val="auto"/>
          <w:sz w:val="28"/>
          <w:szCs w:val="28"/>
          <w:lang w:eastAsia="zh-CN"/>
        </w:rPr>
        <w:t>四</w:t>
      </w:r>
      <w:r>
        <w:rPr>
          <w:rFonts w:hint="eastAsia" w:ascii="仿宋" w:hAnsi="仿宋" w:eastAsia="仿宋" w:cs="仿宋"/>
          <w:b/>
          <w:color w:val="auto"/>
          <w:sz w:val="28"/>
          <w:szCs w:val="28"/>
        </w:rPr>
        <w:t>）</w:t>
      </w:r>
      <w:r>
        <w:rPr>
          <w:rFonts w:hint="eastAsia" w:ascii="仿宋" w:hAnsi="仿宋" w:eastAsia="仿宋" w:cs="仿宋"/>
          <w:b/>
          <w:color w:val="auto"/>
          <w:sz w:val="28"/>
          <w:szCs w:val="28"/>
          <w:lang w:eastAsia="zh-CN"/>
        </w:rPr>
        <w:t>谈判</w:t>
      </w:r>
      <w:r>
        <w:rPr>
          <w:rFonts w:hint="eastAsia" w:ascii="仿宋" w:hAnsi="仿宋" w:eastAsia="仿宋" w:cs="仿宋"/>
          <w:b/>
          <w:color w:val="auto"/>
          <w:sz w:val="28"/>
          <w:szCs w:val="28"/>
        </w:rPr>
        <w:t>报价方式</w:t>
      </w:r>
    </w:p>
    <w:p w14:paraId="20F13A97">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1、供应商提交的响应性文件中的报价，该报价只允许有一个报价，任何有选择性的报价将不予接受。</w:t>
      </w:r>
    </w:p>
    <w:p w14:paraId="33FFCB02">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2、 </w:t>
      </w:r>
      <w:r>
        <w:rPr>
          <w:rFonts w:hint="eastAsia" w:ascii="仿宋" w:hAnsi="仿宋" w:eastAsia="仿宋" w:cs="仿宋"/>
          <w:color w:val="auto"/>
          <w:sz w:val="28"/>
          <w:szCs w:val="28"/>
          <w:lang w:eastAsia="zh-CN"/>
        </w:rPr>
        <w:t>谈判小组</w:t>
      </w:r>
      <w:r>
        <w:rPr>
          <w:rFonts w:hint="eastAsia" w:ascii="仿宋" w:hAnsi="仿宋" w:eastAsia="仿宋" w:cs="仿宋"/>
          <w:color w:val="auto"/>
          <w:sz w:val="28"/>
          <w:szCs w:val="28"/>
        </w:rPr>
        <w:t>所有成员与供应商进行单独</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。在</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中，</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的任何一方不得透露与</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有关的其他供应商的技术资料、价格和其他信息。</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有实质性变动的，</w:t>
      </w:r>
      <w:r>
        <w:rPr>
          <w:rFonts w:hint="eastAsia" w:ascii="仿宋" w:hAnsi="仿宋" w:eastAsia="仿宋" w:cs="仿宋"/>
          <w:color w:val="auto"/>
          <w:sz w:val="28"/>
          <w:szCs w:val="28"/>
          <w:lang w:eastAsia="zh-CN"/>
        </w:rPr>
        <w:t>谈判小组</w:t>
      </w:r>
      <w:r>
        <w:rPr>
          <w:rFonts w:hint="eastAsia" w:ascii="仿宋" w:hAnsi="仿宋" w:eastAsia="仿宋" w:cs="仿宋"/>
          <w:color w:val="auto"/>
          <w:sz w:val="28"/>
          <w:szCs w:val="28"/>
        </w:rPr>
        <w:t>应以书面形式通知所有参加</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的供应商。</w:t>
      </w:r>
    </w:p>
    <w:p w14:paraId="381F35B8">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结束后，供应商可根据</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情况，进行第二次报价</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二轮报价作为最终报价。</w:t>
      </w:r>
    </w:p>
    <w:p w14:paraId="2AD281BF">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4、第二次报价</w:t>
      </w:r>
      <w:r>
        <w:rPr>
          <w:rFonts w:hint="eastAsia" w:ascii="仿宋" w:hAnsi="仿宋" w:eastAsia="仿宋" w:cs="仿宋"/>
          <w:color w:val="auto"/>
          <w:sz w:val="28"/>
          <w:szCs w:val="28"/>
          <w:lang w:eastAsia="zh-CN"/>
        </w:rPr>
        <w:t>在政采云不见面开评标系统</w:t>
      </w:r>
      <w:r>
        <w:rPr>
          <w:rFonts w:hint="eastAsia" w:ascii="仿宋" w:hAnsi="仿宋" w:eastAsia="仿宋" w:cs="仿宋"/>
          <w:color w:val="auto"/>
          <w:sz w:val="28"/>
          <w:szCs w:val="28"/>
        </w:rPr>
        <w:t>填写提交。</w:t>
      </w:r>
    </w:p>
    <w:p w14:paraId="2C83407C">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修正错误的原则如下：大写金额与小写金额不一致的，以大写金额为准；总价金额与按单价汇总金额不一致的，以单价金额计算结果为准；单价金额小数点有明显错位的，以总价为准，并修改单价；对不同文字文本响应性文件的解释发生异议的，以中文文本为准。按上述原则调整后的价格为评标价，对供应商具有约束力。如果供应商不接受修正后的价格，则其报价将被拒绝。</w:t>
      </w:r>
      <w:bookmarkEnd w:id="9"/>
    </w:p>
    <w:p w14:paraId="1464DD03">
      <w:pPr>
        <w:pStyle w:val="4"/>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七、评标</w:t>
      </w:r>
      <w:r>
        <w:rPr>
          <w:rFonts w:hint="eastAsia" w:ascii="仿宋" w:hAnsi="仿宋" w:eastAsia="仿宋" w:cs="仿宋"/>
          <w:color w:val="auto"/>
          <w:sz w:val="28"/>
          <w:szCs w:val="28"/>
          <w:lang w:eastAsia="zh-CN"/>
        </w:rPr>
        <w:t>程序</w:t>
      </w:r>
    </w:p>
    <w:p w14:paraId="0EBCBA42">
      <w:pPr>
        <w:snapToGrid w:val="0"/>
        <w:spacing w:line="360" w:lineRule="auto"/>
        <w:ind w:firstLine="557" w:firstLineChars="196"/>
        <w:rPr>
          <w:rFonts w:hint="eastAsia" w:ascii="仿宋" w:hAnsi="仿宋" w:eastAsia="仿宋" w:cs="仿宋"/>
          <w:b/>
          <w:bCs/>
          <w:color w:val="auto"/>
          <w:sz w:val="28"/>
          <w:szCs w:val="28"/>
        </w:rPr>
      </w:pPr>
      <w:r>
        <w:rPr>
          <w:rFonts w:hint="eastAsia" w:ascii="仿宋" w:hAnsi="仿宋" w:eastAsia="仿宋" w:cs="仿宋"/>
          <w:b/>
          <w:bCs/>
          <w:color w:val="auto"/>
          <w:sz w:val="28"/>
          <w:szCs w:val="28"/>
        </w:rPr>
        <w:t>（二十</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）评标原则</w:t>
      </w:r>
    </w:p>
    <w:p w14:paraId="15691D6C">
      <w:pPr>
        <w:adjustRightInd w:val="0"/>
        <w:snapToGrid w:val="0"/>
        <w:spacing w:line="360"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“公开、公平、公正、客观、择优”为评标的基本原则，</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小组将根据这一原则，公正、平等地对待各供应商。</w:t>
      </w:r>
    </w:p>
    <w:p w14:paraId="17644E1B">
      <w:pPr>
        <w:adjustRightInd w:val="0"/>
        <w:snapToGrid w:val="0"/>
        <w:spacing w:line="360" w:lineRule="auto"/>
        <w:ind w:firstLine="418" w:firstLineChars="147"/>
        <w:rPr>
          <w:rFonts w:hint="eastAsia" w:ascii="仿宋" w:hAnsi="仿宋" w:eastAsia="仿宋" w:cs="仿宋"/>
          <w:b/>
          <w:color w:val="auto"/>
          <w:sz w:val="28"/>
          <w:szCs w:val="28"/>
        </w:rPr>
      </w:pPr>
      <w:r>
        <w:rPr>
          <w:rFonts w:hint="eastAsia" w:ascii="仿宋" w:hAnsi="仿宋" w:eastAsia="仿宋" w:cs="仿宋"/>
          <w:b/>
          <w:bCs/>
          <w:color w:val="auto"/>
          <w:sz w:val="28"/>
          <w:szCs w:val="28"/>
        </w:rPr>
        <w:t>（二十</w:t>
      </w:r>
      <w:r>
        <w:rPr>
          <w:rFonts w:hint="eastAsia" w:ascii="仿宋" w:hAnsi="仿宋" w:eastAsia="仿宋" w:cs="仿宋"/>
          <w:b/>
          <w:bCs/>
          <w:color w:val="auto"/>
          <w:sz w:val="28"/>
          <w:szCs w:val="28"/>
          <w:lang w:eastAsia="zh-CN"/>
        </w:rPr>
        <w:t>六</w:t>
      </w:r>
      <w:r>
        <w:rPr>
          <w:rFonts w:hint="eastAsia" w:ascii="仿宋" w:hAnsi="仿宋" w:eastAsia="仿宋" w:cs="仿宋"/>
          <w:b/>
          <w:bCs/>
          <w:color w:val="auto"/>
          <w:sz w:val="28"/>
          <w:szCs w:val="28"/>
        </w:rPr>
        <w:t>）</w:t>
      </w:r>
      <w:r>
        <w:rPr>
          <w:rFonts w:hint="eastAsia" w:ascii="仿宋" w:hAnsi="仿宋" w:eastAsia="仿宋" w:cs="仿宋"/>
          <w:b/>
          <w:color w:val="auto"/>
          <w:sz w:val="28"/>
          <w:szCs w:val="28"/>
          <w:lang w:eastAsia="zh-CN"/>
        </w:rPr>
        <w:t>谈判</w:t>
      </w:r>
      <w:r>
        <w:rPr>
          <w:rFonts w:hint="eastAsia" w:ascii="仿宋" w:hAnsi="仿宋" w:eastAsia="仿宋" w:cs="仿宋"/>
          <w:b/>
          <w:color w:val="auto"/>
          <w:sz w:val="28"/>
          <w:szCs w:val="28"/>
        </w:rPr>
        <w:t>小组</w:t>
      </w:r>
    </w:p>
    <w:p w14:paraId="1EE3196C">
      <w:pPr>
        <w:pStyle w:val="9"/>
        <w:spacing w:line="360" w:lineRule="exact"/>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评标委员会成员由招标人的代表和随机抽取的有关技术、经济等方面的专家组成。成员人数应当为三人以上（含三人）单数，评标委员会的成员在评标过程中必须严格遵守政府采购的有关规定。专家从</w:t>
      </w:r>
      <w:r>
        <w:rPr>
          <w:rFonts w:hint="eastAsia" w:ascii="仿宋" w:hAnsi="仿宋" w:eastAsia="仿宋" w:cs="仿宋"/>
          <w:color w:val="auto"/>
          <w:sz w:val="28"/>
          <w:szCs w:val="28"/>
          <w:lang w:eastAsia="zh-CN"/>
        </w:rPr>
        <w:t>政采云</w:t>
      </w:r>
      <w:r>
        <w:rPr>
          <w:rFonts w:hint="eastAsia" w:ascii="仿宋" w:hAnsi="仿宋" w:eastAsia="仿宋" w:cs="仿宋"/>
          <w:color w:val="auto"/>
          <w:sz w:val="28"/>
          <w:szCs w:val="28"/>
        </w:rPr>
        <w:t>专家库中随机抽取产生，负责对响应文件进行审查、质询、评审、推选中标候选人。</w:t>
      </w:r>
    </w:p>
    <w:p w14:paraId="09BF09F8">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1、评标事务由</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小组负责，并独立履行下列职责：</w:t>
      </w:r>
    </w:p>
    <w:p w14:paraId="6BCDB9B7">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（a）审查响应文件是否符合本文件要求，并做出评价；</w:t>
      </w:r>
    </w:p>
    <w:p w14:paraId="7D5748C3">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（b）要求供应商对响应文件有关事项做出澄清或答复；</w:t>
      </w:r>
    </w:p>
    <w:p w14:paraId="229A3564">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（c）推荐中标候选人名单，或者直接确定</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w:t>
      </w:r>
    </w:p>
    <w:p w14:paraId="5A5A3F4C">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（d）向招标采购单位或者有关部门报告非法干预评标工作的行为。</w:t>
      </w:r>
    </w:p>
    <w:p w14:paraId="0ACE6133">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小组成员的义务</w:t>
      </w:r>
    </w:p>
    <w:p w14:paraId="6F1A6D84">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（a）遵纪守法，客观、公正、廉洁地履行职责；</w:t>
      </w:r>
    </w:p>
    <w:p w14:paraId="46BF0674">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（b）按照</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规定的评标方法和标准进行评标，对评审意见承担个人责任；</w:t>
      </w:r>
    </w:p>
    <w:p w14:paraId="48B7F8B3">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（c）对评标过程和结果，以及供应商的商业秘密保密；</w:t>
      </w:r>
    </w:p>
    <w:p w14:paraId="1B189E22">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（d）参与评标报告的起草；</w:t>
      </w:r>
    </w:p>
    <w:p w14:paraId="70B6ED82">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（e）配合财政部门的投诉处理工作；</w:t>
      </w:r>
    </w:p>
    <w:p w14:paraId="52088051">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（f）配合招标采购单位答复供应商提出的质疑。</w:t>
      </w:r>
    </w:p>
    <w:p w14:paraId="44541C43">
      <w:pPr>
        <w:pStyle w:val="24"/>
        <w:keepNext w:val="0"/>
        <w:keepLines w:val="0"/>
        <w:pageBreakBefore w:val="0"/>
        <w:kinsoku/>
        <w:wordWrap/>
        <w:overflowPunct/>
        <w:topLinePunct w:val="0"/>
        <w:autoSpaceDE/>
        <w:autoSpaceDN/>
        <w:bidi w:val="0"/>
        <w:snapToGrid w:val="0"/>
        <w:spacing w:line="305" w:lineRule="auto"/>
        <w:rPr>
          <w:rFonts w:hint="eastAsia" w:ascii="仿宋" w:hAnsi="仿宋" w:eastAsia="仿宋" w:cs="仿宋"/>
          <w:color w:val="auto"/>
          <w:sz w:val="28"/>
          <w:szCs w:val="28"/>
          <w:lang w:val="en-US" w:eastAsia="zh-CN" w:bidi="en-US"/>
        </w:rPr>
      </w:pPr>
      <w:r>
        <w:rPr>
          <w:rFonts w:hint="eastAsia" w:ascii="仿宋" w:hAnsi="仿宋" w:eastAsia="仿宋" w:cs="仿宋"/>
          <w:color w:val="auto"/>
          <w:sz w:val="28"/>
          <w:szCs w:val="28"/>
          <w:lang w:val="en-US" w:eastAsia="zh-CN" w:bidi="en-US"/>
        </w:rPr>
        <w:t>3.评标程序</w:t>
      </w:r>
    </w:p>
    <w:p w14:paraId="203592A5">
      <w:pPr>
        <w:pStyle w:val="24"/>
        <w:keepNext w:val="0"/>
        <w:keepLines w:val="0"/>
        <w:pageBreakBefore w:val="0"/>
        <w:kinsoku/>
        <w:wordWrap/>
        <w:overflowPunct/>
        <w:topLinePunct w:val="0"/>
        <w:autoSpaceDE/>
        <w:autoSpaceDN/>
        <w:bidi w:val="0"/>
        <w:snapToGrid w:val="0"/>
        <w:spacing w:line="305" w:lineRule="auto"/>
        <w:rPr>
          <w:rFonts w:hint="eastAsia" w:ascii="仿宋" w:hAnsi="仿宋" w:eastAsia="仿宋" w:cs="仿宋"/>
          <w:color w:val="auto"/>
          <w:sz w:val="28"/>
          <w:szCs w:val="28"/>
          <w:lang w:val="en-US" w:eastAsia="zh-CN" w:bidi="en-US"/>
        </w:rPr>
      </w:pPr>
      <w:r>
        <w:rPr>
          <w:rFonts w:hint="eastAsia" w:ascii="仿宋" w:hAnsi="仿宋" w:eastAsia="仿宋" w:cs="仿宋"/>
          <w:color w:val="auto"/>
          <w:sz w:val="28"/>
          <w:szCs w:val="28"/>
          <w:lang w:val="en-US" w:eastAsia="zh-CN" w:bidi="en-US"/>
        </w:rPr>
        <w:t>本次评标首先由评标委员会对投标人的响应文件进行初审，对未能通过初审的响应文件作无效标处理；</w:t>
      </w:r>
    </w:p>
    <w:p w14:paraId="1DF5C17E">
      <w:pPr>
        <w:pStyle w:val="24"/>
        <w:keepNext w:val="0"/>
        <w:keepLines w:val="0"/>
        <w:pageBreakBefore w:val="0"/>
        <w:kinsoku/>
        <w:wordWrap/>
        <w:overflowPunct/>
        <w:topLinePunct w:val="0"/>
        <w:autoSpaceDE/>
        <w:autoSpaceDN/>
        <w:bidi w:val="0"/>
        <w:snapToGrid w:val="0"/>
        <w:spacing w:line="305" w:lineRule="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bidi="en-US"/>
        </w:rPr>
        <w:t>5对通过初审的投标人的响应文件进行详细的比较和评价。如需要，进行必要的澄清工作；</w:t>
      </w:r>
    </w:p>
    <w:p w14:paraId="7206C7B1">
      <w:pPr>
        <w:keepNext w:val="0"/>
        <w:keepLines w:val="0"/>
        <w:pageBreakBefore w:val="0"/>
        <w:widowControl w:val="0"/>
        <w:kinsoku/>
        <w:wordWrap/>
        <w:overflowPunct/>
        <w:topLinePunct w:val="0"/>
        <w:autoSpaceDE/>
        <w:autoSpaceDN/>
        <w:bidi w:val="0"/>
        <w:adjustRightInd/>
        <w:snapToGrid/>
        <w:spacing w:line="400" w:lineRule="exact"/>
        <w:ind w:firstLine="285" w:firstLineChars="100"/>
        <w:jc w:val="center"/>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color w:val="auto"/>
          <w:sz w:val="28"/>
          <w:szCs w:val="28"/>
          <w:lang w:val="en-US" w:eastAsia="zh-CN"/>
        </w:rPr>
        <w:t>（一）</w:t>
      </w:r>
      <w:r>
        <w:rPr>
          <w:rFonts w:hint="eastAsia" w:ascii="仿宋" w:hAnsi="仿宋" w:eastAsia="仿宋" w:cs="仿宋"/>
          <w:b/>
          <w:color w:val="auto"/>
          <w:sz w:val="28"/>
          <w:szCs w:val="28"/>
          <w:lang w:eastAsia="zh-CN"/>
        </w:rPr>
        <w:t>响应文件初审</w:t>
      </w:r>
    </w:p>
    <w:p w14:paraId="4AB0E201">
      <w:pPr>
        <w:spacing w:line="400" w:lineRule="exact"/>
        <w:ind w:firstLine="418" w:firstLineChars="147"/>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6.资格性审查:</w:t>
      </w:r>
    </w:p>
    <w:p w14:paraId="00980EA0">
      <w:pPr>
        <w:spacing w:line="400" w:lineRule="exact"/>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lang w:eastAsia="zh-CN"/>
        </w:rPr>
        <w:t>6</w:t>
      </w:r>
      <w:r>
        <w:rPr>
          <w:rFonts w:hint="eastAsia" w:ascii="仿宋" w:hAnsi="仿宋" w:eastAsia="仿宋" w:cs="仿宋"/>
          <w:color w:val="auto"/>
          <w:sz w:val="28"/>
          <w:szCs w:val="28"/>
        </w:rPr>
        <w:t>.1评审细则</w:t>
      </w:r>
    </w:p>
    <w:tbl>
      <w:tblPr>
        <w:tblStyle w:val="1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547"/>
        <w:gridCol w:w="6649"/>
        <w:gridCol w:w="555"/>
        <w:gridCol w:w="49"/>
        <w:gridCol w:w="605"/>
      </w:tblGrid>
      <w:tr w14:paraId="668CE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881" w:type="dxa"/>
            <w:vMerge w:val="restart"/>
            <w:vAlign w:val="center"/>
          </w:tcPr>
          <w:p w14:paraId="547DAA67">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项目</w:t>
            </w:r>
          </w:p>
        </w:tc>
        <w:tc>
          <w:tcPr>
            <w:tcW w:w="7196" w:type="dxa"/>
            <w:gridSpan w:val="2"/>
            <w:vMerge w:val="restart"/>
            <w:vAlign w:val="center"/>
          </w:tcPr>
          <w:p w14:paraId="0A73CC72">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评审内容</w:t>
            </w:r>
          </w:p>
        </w:tc>
        <w:tc>
          <w:tcPr>
            <w:tcW w:w="1209" w:type="dxa"/>
            <w:gridSpan w:val="3"/>
            <w:vAlign w:val="center"/>
          </w:tcPr>
          <w:p w14:paraId="06D9C27B">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评审意见</w:t>
            </w:r>
          </w:p>
        </w:tc>
      </w:tr>
      <w:tr w14:paraId="2055A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881" w:type="dxa"/>
            <w:vMerge w:val="continue"/>
            <w:vAlign w:val="center"/>
          </w:tcPr>
          <w:p w14:paraId="7E5179A6">
            <w:pPr>
              <w:rPr>
                <w:rFonts w:hint="eastAsia" w:ascii="仿宋" w:hAnsi="仿宋" w:eastAsia="仿宋" w:cs="仿宋"/>
                <w:color w:val="auto"/>
                <w:sz w:val="28"/>
                <w:szCs w:val="28"/>
              </w:rPr>
            </w:pPr>
          </w:p>
        </w:tc>
        <w:tc>
          <w:tcPr>
            <w:tcW w:w="7196" w:type="dxa"/>
            <w:gridSpan w:val="2"/>
            <w:vMerge w:val="continue"/>
          </w:tcPr>
          <w:p w14:paraId="0D963872">
            <w:pPr>
              <w:rPr>
                <w:rFonts w:hint="eastAsia" w:ascii="仿宋" w:hAnsi="仿宋" w:eastAsia="仿宋" w:cs="仿宋"/>
                <w:color w:val="auto"/>
                <w:sz w:val="28"/>
                <w:szCs w:val="28"/>
              </w:rPr>
            </w:pPr>
          </w:p>
        </w:tc>
        <w:tc>
          <w:tcPr>
            <w:tcW w:w="555" w:type="dxa"/>
            <w:vAlign w:val="center"/>
          </w:tcPr>
          <w:p w14:paraId="6DF924EC">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是</w:t>
            </w:r>
          </w:p>
        </w:tc>
        <w:tc>
          <w:tcPr>
            <w:tcW w:w="654" w:type="dxa"/>
            <w:gridSpan w:val="2"/>
            <w:vAlign w:val="center"/>
          </w:tcPr>
          <w:p w14:paraId="7AEC64CD">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否</w:t>
            </w:r>
          </w:p>
        </w:tc>
      </w:tr>
      <w:tr w14:paraId="7C1E3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881" w:type="dxa"/>
            <w:vMerge w:val="restart"/>
            <w:vAlign w:val="center"/>
          </w:tcPr>
          <w:p w14:paraId="3A0D8408">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审</w:t>
            </w:r>
          </w:p>
          <w:p w14:paraId="4ABF1877">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查</w:t>
            </w:r>
          </w:p>
          <w:p w14:paraId="14B8C253">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标</w:t>
            </w:r>
          </w:p>
          <w:p w14:paraId="6F8F635E">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准</w:t>
            </w:r>
          </w:p>
          <w:p w14:paraId="7D7BA36D">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(适</w:t>
            </w:r>
          </w:p>
          <w:p w14:paraId="555846D7">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用</w:t>
            </w:r>
          </w:p>
          <w:p w14:paraId="6CF77E64">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于</w:t>
            </w:r>
          </w:p>
          <w:p w14:paraId="68F92FCA">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资</w:t>
            </w:r>
          </w:p>
          <w:p w14:paraId="5CCD307C">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格</w:t>
            </w:r>
          </w:p>
          <w:p w14:paraId="1EF109E6">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后</w:t>
            </w:r>
          </w:p>
          <w:p w14:paraId="2BB5A82B">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审)</w:t>
            </w:r>
          </w:p>
        </w:tc>
        <w:tc>
          <w:tcPr>
            <w:tcW w:w="547" w:type="dxa"/>
            <w:vAlign w:val="center"/>
          </w:tcPr>
          <w:p w14:paraId="4E25E52F">
            <w:pPr>
              <w:widowControl/>
              <w:textAlignment w:val="center"/>
              <w:rPr>
                <w:rFonts w:hint="eastAsia" w:ascii="仿宋" w:hAnsi="仿宋" w:eastAsia="仿宋" w:cs="仿宋"/>
                <w:color w:val="auto"/>
                <w:sz w:val="28"/>
                <w:szCs w:val="28"/>
                <w:lang w:val="en-US" w:eastAsia="zh-CN" w:bidi="ar"/>
              </w:rPr>
            </w:pPr>
            <w:r>
              <w:rPr>
                <w:rFonts w:hint="eastAsia" w:ascii="仿宋" w:hAnsi="仿宋" w:eastAsia="仿宋" w:cs="仿宋"/>
                <w:color w:val="auto"/>
                <w:sz w:val="28"/>
                <w:szCs w:val="28"/>
                <w:lang w:val="en-US" w:eastAsia="zh-CN" w:bidi="ar"/>
              </w:rPr>
              <w:t>1</w:t>
            </w:r>
          </w:p>
        </w:tc>
        <w:tc>
          <w:tcPr>
            <w:tcW w:w="6649" w:type="dxa"/>
            <w:vAlign w:val="center"/>
          </w:tcPr>
          <w:p w14:paraId="718925D8">
            <w:pPr>
              <w:widowControl/>
              <w:textAlignment w:val="center"/>
              <w:rPr>
                <w:rFonts w:hint="eastAsia" w:ascii="仿宋" w:hAnsi="仿宋" w:eastAsia="仿宋" w:cs="仿宋"/>
                <w:color w:val="auto"/>
                <w:sz w:val="28"/>
                <w:szCs w:val="28"/>
                <w:lang w:val="en-US" w:eastAsia="zh-CN" w:bidi="ar"/>
              </w:rPr>
            </w:pPr>
            <w:r>
              <w:rPr>
                <w:rFonts w:hint="eastAsia" w:ascii="仿宋" w:hAnsi="仿宋" w:eastAsia="仿宋" w:cs="仿宋"/>
                <w:color w:val="auto"/>
                <w:sz w:val="28"/>
                <w:szCs w:val="28"/>
                <w:lang w:val="en-US" w:eastAsia="zh-CN" w:bidi="ar"/>
              </w:rPr>
              <w:t>具备合格的三证合一营业执照副本</w:t>
            </w:r>
          </w:p>
        </w:tc>
        <w:tc>
          <w:tcPr>
            <w:tcW w:w="555" w:type="dxa"/>
          </w:tcPr>
          <w:p w14:paraId="3037DC1E">
            <w:pPr>
              <w:rPr>
                <w:rFonts w:hint="eastAsia" w:ascii="仿宋" w:hAnsi="仿宋" w:eastAsia="仿宋" w:cs="仿宋"/>
                <w:color w:val="auto"/>
                <w:sz w:val="28"/>
                <w:szCs w:val="28"/>
                <w:lang w:eastAsia="zh-CN"/>
              </w:rPr>
            </w:pPr>
          </w:p>
        </w:tc>
        <w:tc>
          <w:tcPr>
            <w:tcW w:w="654" w:type="dxa"/>
            <w:gridSpan w:val="2"/>
          </w:tcPr>
          <w:p w14:paraId="5644ABC7">
            <w:pPr>
              <w:rPr>
                <w:rFonts w:hint="eastAsia" w:ascii="仿宋" w:hAnsi="仿宋" w:eastAsia="仿宋" w:cs="仿宋"/>
                <w:color w:val="auto"/>
                <w:sz w:val="28"/>
                <w:szCs w:val="28"/>
                <w:lang w:eastAsia="zh-CN"/>
              </w:rPr>
            </w:pPr>
          </w:p>
        </w:tc>
      </w:tr>
      <w:tr w14:paraId="3DE61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881" w:type="dxa"/>
            <w:vMerge w:val="continue"/>
            <w:vAlign w:val="center"/>
          </w:tcPr>
          <w:p w14:paraId="1357352C">
            <w:pPr>
              <w:jc w:val="center"/>
              <w:rPr>
                <w:rFonts w:hint="eastAsia" w:ascii="仿宋" w:hAnsi="仿宋" w:eastAsia="仿宋" w:cs="仿宋"/>
                <w:color w:val="auto"/>
                <w:sz w:val="28"/>
                <w:szCs w:val="28"/>
                <w:lang w:eastAsia="zh-CN"/>
              </w:rPr>
            </w:pPr>
          </w:p>
        </w:tc>
        <w:tc>
          <w:tcPr>
            <w:tcW w:w="547" w:type="dxa"/>
            <w:vAlign w:val="center"/>
          </w:tcPr>
          <w:p w14:paraId="5E2141DE">
            <w:pPr>
              <w:widowControl/>
              <w:textAlignment w:val="center"/>
              <w:rPr>
                <w:rFonts w:hint="eastAsia" w:ascii="仿宋" w:hAnsi="仿宋" w:eastAsia="仿宋" w:cs="仿宋"/>
                <w:color w:val="auto"/>
                <w:sz w:val="28"/>
                <w:szCs w:val="28"/>
                <w:lang w:val="en-US" w:eastAsia="zh-CN" w:bidi="ar"/>
              </w:rPr>
            </w:pPr>
            <w:r>
              <w:rPr>
                <w:rFonts w:hint="eastAsia" w:ascii="仿宋" w:hAnsi="仿宋" w:eastAsia="仿宋" w:cs="仿宋"/>
                <w:color w:val="auto"/>
                <w:sz w:val="28"/>
                <w:szCs w:val="28"/>
                <w:lang w:val="en-US" w:eastAsia="zh-CN" w:bidi="ar"/>
              </w:rPr>
              <w:t>2</w:t>
            </w:r>
          </w:p>
        </w:tc>
        <w:tc>
          <w:tcPr>
            <w:tcW w:w="6649" w:type="dxa"/>
            <w:vAlign w:val="center"/>
          </w:tcPr>
          <w:p w14:paraId="41F2E7C7">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kern w:val="0"/>
                <w:sz w:val="28"/>
                <w:szCs w:val="28"/>
                <w:highlight w:val="none"/>
                <w:lang w:eastAsia="zh-CN" w:bidi="ar"/>
              </w:rPr>
              <w:t>投标</w:t>
            </w:r>
            <w:r>
              <w:rPr>
                <w:rFonts w:hint="eastAsia" w:ascii="仿宋" w:hAnsi="仿宋" w:eastAsia="仿宋" w:cs="仿宋"/>
                <w:color w:val="auto"/>
                <w:kern w:val="0"/>
                <w:sz w:val="28"/>
                <w:szCs w:val="28"/>
                <w:highlight w:val="none"/>
                <w:lang w:bidi="ar"/>
              </w:rPr>
              <w:t>保证金</w:t>
            </w:r>
            <w:r>
              <w:rPr>
                <w:rFonts w:hint="eastAsia" w:ascii="仿宋" w:hAnsi="仿宋" w:eastAsia="仿宋" w:cs="仿宋"/>
                <w:color w:val="auto"/>
                <w:kern w:val="0"/>
                <w:sz w:val="28"/>
                <w:szCs w:val="28"/>
                <w:highlight w:val="none"/>
                <w:lang w:eastAsia="zh-CN" w:bidi="ar"/>
              </w:rPr>
              <w:t>汇款凭证或</w:t>
            </w:r>
            <w:r>
              <w:rPr>
                <w:rFonts w:hint="eastAsia" w:ascii="仿宋" w:hAnsi="仿宋" w:eastAsia="仿宋" w:cs="仿宋"/>
                <w:color w:val="auto"/>
                <w:kern w:val="0"/>
                <w:sz w:val="28"/>
                <w:szCs w:val="28"/>
                <w:highlight w:val="none"/>
                <w:lang w:val="en-US" w:eastAsia="zh-CN" w:bidi="ar"/>
              </w:rPr>
              <w:t>投标担保函</w:t>
            </w:r>
          </w:p>
        </w:tc>
        <w:tc>
          <w:tcPr>
            <w:tcW w:w="555" w:type="dxa"/>
          </w:tcPr>
          <w:p w14:paraId="3D3A9935">
            <w:pPr>
              <w:rPr>
                <w:rFonts w:hint="eastAsia" w:ascii="仿宋" w:hAnsi="仿宋" w:eastAsia="仿宋" w:cs="仿宋"/>
                <w:color w:val="auto"/>
                <w:sz w:val="28"/>
                <w:szCs w:val="28"/>
                <w:lang w:eastAsia="zh-CN"/>
              </w:rPr>
            </w:pPr>
          </w:p>
        </w:tc>
        <w:tc>
          <w:tcPr>
            <w:tcW w:w="654" w:type="dxa"/>
            <w:gridSpan w:val="2"/>
          </w:tcPr>
          <w:p w14:paraId="0B8FCCA5">
            <w:pPr>
              <w:rPr>
                <w:rFonts w:hint="eastAsia" w:ascii="仿宋" w:hAnsi="仿宋" w:eastAsia="仿宋" w:cs="仿宋"/>
                <w:color w:val="auto"/>
                <w:sz w:val="28"/>
                <w:szCs w:val="28"/>
                <w:lang w:eastAsia="zh-CN"/>
              </w:rPr>
            </w:pPr>
          </w:p>
        </w:tc>
      </w:tr>
      <w:tr w14:paraId="66D3A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881" w:type="dxa"/>
            <w:vMerge w:val="continue"/>
            <w:vAlign w:val="center"/>
          </w:tcPr>
          <w:p w14:paraId="3AC7DBC3">
            <w:pPr>
              <w:jc w:val="center"/>
              <w:rPr>
                <w:rFonts w:hint="eastAsia" w:ascii="仿宋" w:hAnsi="仿宋" w:eastAsia="仿宋" w:cs="仿宋"/>
                <w:color w:val="auto"/>
                <w:sz w:val="28"/>
                <w:szCs w:val="28"/>
                <w:lang w:eastAsia="zh-CN"/>
              </w:rPr>
            </w:pPr>
          </w:p>
        </w:tc>
        <w:tc>
          <w:tcPr>
            <w:tcW w:w="547" w:type="dxa"/>
            <w:vAlign w:val="center"/>
          </w:tcPr>
          <w:p w14:paraId="6A8872F6">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val="en-US" w:eastAsia="zh-CN" w:bidi="ar"/>
              </w:rPr>
              <w:t>3</w:t>
            </w:r>
          </w:p>
        </w:tc>
        <w:tc>
          <w:tcPr>
            <w:tcW w:w="6649" w:type="dxa"/>
            <w:vAlign w:val="center"/>
          </w:tcPr>
          <w:p w14:paraId="3C593631">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eastAsia="zh-CN" w:bidi="ar"/>
              </w:rPr>
              <w:t>法定代表人投标需提供法定代表人资格证明书，委托代理人投标需提供法定代表人授权委托书</w:t>
            </w:r>
          </w:p>
        </w:tc>
        <w:tc>
          <w:tcPr>
            <w:tcW w:w="555" w:type="dxa"/>
          </w:tcPr>
          <w:p w14:paraId="5905C125">
            <w:pPr>
              <w:rPr>
                <w:rFonts w:hint="eastAsia" w:ascii="仿宋" w:hAnsi="仿宋" w:eastAsia="仿宋" w:cs="仿宋"/>
                <w:color w:val="auto"/>
                <w:sz w:val="28"/>
                <w:szCs w:val="28"/>
                <w:lang w:eastAsia="zh-CN"/>
              </w:rPr>
            </w:pPr>
          </w:p>
        </w:tc>
        <w:tc>
          <w:tcPr>
            <w:tcW w:w="654" w:type="dxa"/>
            <w:gridSpan w:val="2"/>
          </w:tcPr>
          <w:p w14:paraId="2E56DB2E">
            <w:pPr>
              <w:rPr>
                <w:rFonts w:hint="eastAsia" w:ascii="仿宋" w:hAnsi="仿宋" w:eastAsia="仿宋" w:cs="仿宋"/>
                <w:color w:val="auto"/>
                <w:sz w:val="28"/>
                <w:szCs w:val="28"/>
                <w:lang w:eastAsia="zh-CN"/>
              </w:rPr>
            </w:pPr>
          </w:p>
        </w:tc>
      </w:tr>
      <w:tr w14:paraId="63A63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4" w:hRule="atLeast"/>
          <w:jc w:val="center"/>
        </w:trPr>
        <w:tc>
          <w:tcPr>
            <w:tcW w:w="881" w:type="dxa"/>
            <w:vMerge w:val="continue"/>
            <w:vAlign w:val="center"/>
          </w:tcPr>
          <w:p w14:paraId="02AA4FF3">
            <w:pPr>
              <w:rPr>
                <w:rFonts w:hint="eastAsia" w:ascii="仿宋" w:hAnsi="仿宋" w:eastAsia="仿宋" w:cs="仿宋"/>
                <w:color w:val="auto"/>
                <w:sz w:val="28"/>
                <w:szCs w:val="28"/>
                <w:lang w:eastAsia="zh-CN"/>
              </w:rPr>
            </w:pPr>
          </w:p>
        </w:tc>
        <w:tc>
          <w:tcPr>
            <w:tcW w:w="547" w:type="dxa"/>
            <w:vAlign w:val="center"/>
          </w:tcPr>
          <w:p w14:paraId="487C2A83">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val="en-US" w:eastAsia="zh-CN" w:bidi="ar"/>
              </w:rPr>
              <w:t>4</w:t>
            </w:r>
          </w:p>
        </w:tc>
        <w:tc>
          <w:tcPr>
            <w:tcW w:w="6649" w:type="dxa"/>
            <w:vAlign w:val="center"/>
          </w:tcPr>
          <w:p w14:paraId="3BE7BA24">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eastAsia="zh-CN" w:bidi="ar"/>
              </w:rPr>
              <w:t>投标企业需提供参加本次采购活动前三年内未被“信用中国”（www.creditchina.gov.cn）、中国政府采购网（www.ccgp.gov.cn）列入失信被执行人、重大税收违法案件当事人名单、政府采购严重违法失信行为记录名单； </w:t>
            </w:r>
          </w:p>
        </w:tc>
        <w:tc>
          <w:tcPr>
            <w:tcW w:w="555" w:type="dxa"/>
          </w:tcPr>
          <w:p w14:paraId="094B44DE">
            <w:pPr>
              <w:rPr>
                <w:rFonts w:hint="eastAsia" w:ascii="仿宋" w:hAnsi="仿宋" w:eastAsia="仿宋" w:cs="仿宋"/>
                <w:color w:val="auto"/>
                <w:sz w:val="28"/>
                <w:szCs w:val="28"/>
                <w:lang w:eastAsia="zh-CN"/>
              </w:rPr>
            </w:pPr>
          </w:p>
        </w:tc>
        <w:tc>
          <w:tcPr>
            <w:tcW w:w="654" w:type="dxa"/>
            <w:gridSpan w:val="2"/>
          </w:tcPr>
          <w:p w14:paraId="322A3F43">
            <w:pPr>
              <w:rPr>
                <w:rFonts w:hint="eastAsia" w:ascii="仿宋" w:hAnsi="仿宋" w:eastAsia="仿宋" w:cs="仿宋"/>
                <w:color w:val="auto"/>
                <w:sz w:val="28"/>
                <w:szCs w:val="28"/>
                <w:lang w:eastAsia="zh-CN"/>
              </w:rPr>
            </w:pPr>
          </w:p>
        </w:tc>
      </w:tr>
      <w:tr w14:paraId="7B9CA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881" w:type="dxa"/>
            <w:vMerge w:val="continue"/>
            <w:vAlign w:val="center"/>
          </w:tcPr>
          <w:p w14:paraId="648914A0">
            <w:pPr>
              <w:rPr>
                <w:rFonts w:hint="eastAsia" w:ascii="仿宋" w:hAnsi="仿宋" w:eastAsia="仿宋" w:cs="仿宋"/>
                <w:color w:val="auto"/>
                <w:sz w:val="28"/>
                <w:szCs w:val="28"/>
                <w:lang w:eastAsia="zh-CN"/>
              </w:rPr>
            </w:pPr>
          </w:p>
        </w:tc>
        <w:tc>
          <w:tcPr>
            <w:tcW w:w="547" w:type="dxa"/>
            <w:vAlign w:val="center"/>
          </w:tcPr>
          <w:p w14:paraId="3D36D608">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5</w:t>
            </w:r>
          </w:p>
        </w:tc>
        <w:tc>
          <w:tcPr>
            <w:tcW w:w="6649" w:type="dxa"/>
            <w:vAlign w:val="center"/>
          </w:tcPr>
          <w:p w14:paraId="6BAEF42D">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b w:val="0"/>
                <w:color w:val="auto"/>
                <w:sz w:val="28"/>
                <w:szCs w:val="28"/>
                <w:highlight w:val="none"/>
              </w:rPr>
              <w:t>投标企业须提供投标人（被授权本单位在职人员）</w:t>
            </w:r>
            <w:r>
              <w:rPr>
                <w:rFonts w:hint="eastAsia" w:ascii="仿宋" w:hAnsi="仿宋" w:eastAsia="仿宋" w:cs="仿宋"/>
                <w:b w:val="0"/>
                <w:color w:val="auto"/>
                <w:sz w:val="28"/>
                <w:szCs w:val="28"/>
                <w:highlight w:val="none"/>
                <w:lang w:eastAsia="zh-CN"/>
              </w:rPr>
              <w:t>近6个月</w:t>
            </w:r>
            <w:r>
              <w:rPr>
                <w:rFonts w:hint="eastAsia" w:ascii="仿宋" w:hAnsi="仿宋" w:eastAsia="仿宋" w:cs="仿宋"/>
                <w:b w:val="0"/>
                <w:color w:val="auto"/>
                <w:sz w:val="28"/>
                <w:szCs w:val="28"/>
                <w:highlight w:val="none"/>
                <w:lang w:val="en-US" w:eastAsia="zh-CN"/>
              </w:rPr>
              <w:t>内任意一个月</w:t>
            </w:r>
            <w:r>
              <w:rPr>
                <w:rFonts w:hint="eastAsia" w:ascii="仿宋" w:hAnsi="仿宋" w:eastAsia="仿宋" w:cs="仿宋"/>
                <w:b w:val="0"/>
                <w:color w:val="auto"/>
                <w:sz w:val="28"/>
                <w:szCs w:val="28"/>
                <w:highlight w:val="none"/>
                <w:lang w:eastAsia="zh-CN"/>
              </w:rPr>
              <w:t>有效的社保证明</w:t>
            </w:r>
          </w:p>
        </w:tc>
        <w:tc>
          <w:tcPr>
            <w:tcW w:w="555" w:type="dxa"/>
          </w:tcPr>
          <w:p w14:paraId="0C8E069D">
            <w:pPr>
              <w:rPr>
                <w:rFonts w:hint="eastAsia" w:ascii="仿宋" w:hAnsi="仿宋" w:eastAsia="仿宋" w:cs="仿宋"/>
                <w:color w:val="auto"/>
                <w:sz w:val="28"/>
                <w:szCs w:val="28"/>
                <w:lang w:eastAsia="zh-CN"/>
              </w:rPr>
            </w:pPr>
          </w:p>
        </w:tc>
        <w:tc>
          <w:tcPr>
            <w:tcW w:w="654" w:type="dxa"/>
            <w:gridSpan w:val="2"/>
          </w:tcPr>
          <w:p w14:paraId="706FA265">
            <w:pPr>
              <w:rPr>
                <w:rFonts w:hint="eastAsia" w:ascii="仿宋" w:hAnsi="仿宋" w:eastAsia="仿宋" w:cs="仿宋"/>
                <w:color w:val="auto"/>
                <w:sz w:val="28"/>
                <w:szCs w:val="28"/>
                <w:lang w:eastAsia="zh-CN"/>
              </w:rPr>
            </w:pPr>
          </w:p>
        </w:tc>
      </w:tr>
      <w:tr w14:paraId="6BE0F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81" w:type="dxa"/>
            <w:vMerge w:val="continue"/>
            <w:vAlign w:val="center"/>
          </w:tcPr>
          <w:p w14:paraId="29ACDC68">
            <w:pPr>
              <w:jc w:val="center"/>
              <w:rPr>
                <w:rFonts w:hint="eastAsia" w:ascii="仿宋" w:hAnsi="仿宋" w:eastAsia="仿宋" w:cs="仿宋"/>
                <w:color w:val="auto"/>
                <w:sz w:val="28"/>
                <w:szCs w:val="28"/>
                <w:lang w:eastAsia="zh-CN"/>
              </w:rPr>
            </w:pPr>
          </w:p>
        </w:tc>
        <w:tc>
          <w:tcPr>
            <w:tcW w:w="547" w:type="dxa"/>
          </w:tcPr>
          <w:p w14:paraId="0D4D00D4">
            <w:pPr>
              <w:spacing w:line="440" w:lineRule="exact"/>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w:t>
            </w:r>
          </w:p>
        </w:tc>
        <w:tc>
          <w:tcPr>
            <w:tcW w:w="6649" w:type="dxa"/>
          </w:tcPr>
          <w:p w14:paraId="3F270B45">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供应商应为中小企业</w:t>
            </w:r>
          </w:p>
        </w:tc>
        <w:tc>
          <w:tcPr>
            <w:tcW w:w="604" w:type="dxa"/>
            <w:gridSpan w:val="2"/>
          </w:tcPr>
          <w:p w14:paraId="0A379B8B">
            <w:pPr>
              <w:rPr>
                <w:rFonts w:hint="eastAsia" w:ascii="仿宋" w:hAnsi="仿宋" w:eastAsia="仿宋" w:cs="仿宋"/>
                <w:color w:val="auto"/>
                <w:sz w:val="28"/>
                <w:szCs w:val="28"/>
                <w:lang w:eastAsia="zh-CN"/>
              </w:rPr>
            </w:pPr>
          </w:p>
        </w:tc>
        <w:tc>
          <w:tcPr>
            <w:tcW w:w="605" w:type="dxa"/>
          </w:tcPr>
          <w:p w14:paraId="5019665C">
            <w:pPr>
              <w:rPr>
                <w:rFonts w:hint="eastAsia" w:ascii="仿宋" w:hAnsi="仿宋" w:eastAsia="仿宋" w:cs="仿宋"/>
                <w:color w:val="auto"/>
                <w:sz w:val="28"/>
                <w:szCs w:val="28"/>
                <w:lang w:eastAsia="zh-CN"/>
              </w:rPr>
            </w:pPr>
          </w:p>
        </w:tc>
      </w:tr>
      <w:tr w14:paraId="5E96C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81" w:type="dxa"/>
            <w:vMerge w:val="continue"/>
            <w:vAlign w:val="center"/>
          </w:tcPr>
          <w:p w14:paraId="49103A15">
            <w:pPr>
              <w:jc w:val="center"/>
              <w:rPr>
                <w:rFonts w:hint="eastAsia" w:ascii="仿宋" w:hAnsi="仿宋" w:eastAsia="仿宋" w:cs="仿宋"/>
                <w:color w:val="auto"/>
                <w:sz w:val="28"/>
                <w:szCs w:val="28"/>
                <w:lang w:eastAsia="zh-CN"/>
              </w:rPr>
            </w:pPr>
          </w:p>
        </w:tc>
        <w:tc>
          <w:tcPr>
            <w:tcW w:w="8405" w:type="dxa"/>
            <w:gridSpan w:val="5"/>
          </w:tcPr>
          <w:p w14:paraId="38D5A12D">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结论：是否通过评审（须填写通过或不通过）</w:t>
            </w:r>
          </w:p>
          <w:p w14:paraId="39EABA71">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注：如有一项不合格，作废标处理。</w:t>
            </w:r>
          </w:p>
        </w:tc>
      </w:tr>
    </w:tbl>
    <w:p w14:paraId="39473B41">
      <w:pPr>
        <w:spacing w:line="400" w:lineRule="exact"/>
        <w:ind w:firstLine="686" w:firstLineChars="241"/>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6.2如评标专家在检验电子标书过程中，如果由于投标人自身原因导致评标专家无法查看并检验电子标书中以上相关资料的，否决其投标。即使投标单位将原件携带至现场的，同样按无效投标处理。</w:t>
      </w:r>
    </w:p>
    <w:p w14:paraId="0205D0CD">
      <w:pPr>
        <w:spacing w:before="156" w:beforeLines="50" w:line="440" w:lineRule="exact"/>
        <w:ind w:firstLine="418" w:firstLineChars="147"/>
        <w:rPr>
          <w:rFonts w:hint="eastAsia" w:ascii="仿宋" w:hAnsi="仿宋" w:eastAsia="仿宋" w:cs="仿宋"/>
          <w:b/>
          <w:color w:val="auto"/>
          <w:sz w:val="28"/>
          <w:szCs w:val="28"/>
          <w:lang w:eastAsia="zh-CN"/>
        </w:rPr>
      </w:pPr>
    </w:p>
    <w:p w14:paraId="109EEF3C">
      <w:pPr>
        <w:spacing w:before="156" w:beforeLines="50" w:line="440" w:lineRule="exact"/>
        <w:ind w:firstLine="418" w:firstLineChars="147"/>
        <w:rPr>
          <w:rFonts w:hint="eastAsia" w:ascii="仿宋" w:hAnsi="仿宋" w:eastAsia="仿宋" w:cs="仿宋"/>
          <w:b/>
          <w:color w:val="auto"/>
          <w:sz w:val="28"/>
          <w:szCs w:val="28"/>
          <w:lang w:eastAsia="zh-CN"/>
        </w:rPr>
      </w:pPr>
    </w:p>
    <w:p w14:paraId="637E3A30">
      <w:pPr>
        <w:spacing w:before="156" w:beforeLines="50" w:line="440" w:lineRule="exact"/>
        <w:ind w:firstLine="418" w:firstLineChars="147"/>
        <w:rPr>
          <w:rFonts w:hint="eastAsia" w:ascii="仿宋" w:hAnsi="仿宋" w:eastAsia="仿宋" w:cs="仿宋"/>
          <w:b/>
          <w:color w:val="auto"/>
          <w:sz w:val="28"/>
          <w:szCs w:val="28"/>
          <w:lang w:eastAsia="zh-CN"/>
        </w:rPr>
      </w:pPr>
    </w:p>
    <w:p w14:paraId="102A76F0">
      <w:pPr>
        <w:spacing w:before="156" w:beforeLines="50" w:line="440" w:lineRule="exact"/>
        <w:ind w:firstLine="418" w:firstLineChars="147"/>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7</w:t>
      </w:r>
      <w:r>
        <w:rPr>
          <w:rFonts w:hint="eastAsia" w:ascii="仿宋" w:hAnsi="仿宋" w:eastAsia="仿宋" w:cs="仿宋"/>
          <w:b/>
          <w:color w:val="auto"/>
          <w:sz w:val="28"/>
          <w:szCs w:val="28"/>
        </w:rPr>
        <w:t>.符合性审查</w:t>
      </w:r>
    </w:p>
    <w:p w14:paraId="6EA79888">
      <w:pPr>
        <w:spacing w:line="440" w:lineRule="exact"/>
        <w:ind w:firstLine="427" w:firstLineChars="15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7</w:t>
      </w:r>
      <w:r>
        <w:rPr>
          <w:rFonts w:hint="eastAsia" w:ascii="仿宋" w:hAnsi="仿宋" w:eastAsia="仿宋" w:cs="仿宋"/>
          <w:color w:val="auto"/>
          <w:sz w:val="28"/>
          <w:szCs w:val="28"/>
        </w:rPr>
        <w:t>．1评审细则</w:t>
      </w:r>
    </w:p>
    <w:tbl>
      <w:tblPr>
        <w:tblStyle w:val="17"/>
        <w:tblpPr w:leftFromText="180" w:rightFromText="180" w:vertAnchor="text" w:horzAnchor="page" w:tblpX="1293" w:tblpY="54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17"/>
        <w:gridCol w:w="574"/>
        <w:gridCol w:w="6378"/>
        <w:gridCol w:w="482"/>
        <w:gridCol w:w="884"/>
      </w:tblGrid>
      <w:tr w14:paraId="34F849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0" w:hRule="atLeast"/>
        </w:trPr>
        <w:tc>
          <w:tcPr>
            <w:tcW w:w="1117" w:type="dxa"/>
            <w:tcBorders>
              <w:top w:val="single" w:color="auto" w:sz="4" w:space="0"/>
              <w:left w:val="single" w:color="auto" w:sz="4" w:space="0"/>
            </w:tcBorders>
            <w:noWrap w:val="0"/>
            <w:vAlign w:val="center"/>
          </w:tcPr>
          <w:p w14:paraId="3E5B372F">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项目</w:t>
            </w:r>
          </w:p>
        </w:tc>
        <w:tc>
          <w:tcPr>
            <w:tcW w:w="6952" w:type="dxa"/>
            <w:gridSpan w:val="2"/>
            <w:tcBorders>
              <w:top w:val="single" w:color="auto" w:sz="4" w:space="0"/>
            </w:tcBorders>
            <w:noWrap w:val="0"/>
            <w:vAlign w:val="center"/>
          </w:tcPr>
          <w:p w14:paraId="7890CD61">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评审内容</w:t>
            </w:r>
          </w:p>
        </w:tc>
        <w:tc>
          <w:tcPr>
            <w:tcW w:w="1366" w:type="dxa"/>
            <w:gridSpan w:val="2"/>
            <w:tcBorders>
              <w:top w:val="single" w:color="auto" w:sz="4" w:space="0"/>
              <w:right w:val="single" w:color="auto" w:sz="4" w:space="0"/>
            </w:tcBorders>
            <w:noWrap w:val="0"/>
            <w:vAlign w:val="center"/>
          </w:tcPr>
          <w:p w14:paraId="18C4E173">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评审意见</w:t>
            </w:r>
          </w:p>
        </w:tc>
      </w:tr>
      <w:tr w14:paraId="692A54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17" w:type="dxa"/>
            <w:tcBorders>
              <w:left w:val="single" w:color="auto" w:sz="4" w:space="0"/>
              <w:bottom w:val="single" w:color="auto" w:sz="4" w:space="0"/>
            </w:tcBorders>
            <w:noWrap w:val="0"/>
            <w:vAlign w:val="center"/>
          </w:tcPr>
          <w:p w14:paraId="3BEF365A">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6952" w:type="dxa"/>
            <w:gridSpan w:val="2"/>
            <w:tcBorders>
              <w:bottom w:val="single" w:color="auto" w:sz="4" w:space="0"/>
            </w:tcBorders>
            <w:noWrap w:val="0"/>
            <w:vAlign w:val="top"/>
          </w:tcPr>
          <w:p w14:paraId="48B03250">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482" w:type="dxa"/>
            <w:noWrap w:val="0"/>
            <w:vAlign w:val="center"/>
          </w:tcPr>
          <w:p w14:paraId="7531BD86">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是</w:t>
            </w:r>
          </w:p>
        </w:tc>
        <w:tc>
          <w:tcPr>
            <w:tcW w:w="884" w:type="dxa"/>
            <w:tcBorders>
              <w:right w:val="single" w:color="auto" w:sz="4" w:space="0"/>
            </w:tcBorders>
            <w:noWrap w:val="0"/>
            <w:vAlign w:val="center"/>
          </w:tcPr>
          <w:p w14:paraId="02D33F3C">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否</w:t>
            </w:r>
          </w:p>
        </w:tc>
      </w:tr>
      <w:tr w14:paraId="782C85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0" w:hRule="atLeast"/>
        </w:trPr>
        <w:tc>
          <w:tcPr>
            <w:tcW w:w="1117" w:type="dxa"/>
            <w:vMerge w:val="restart"/>
            <w:tcBorders>
              <w:top w:val="single" w:color="auto" w:sz="4" w:space="0"/>
              <w:left w:val="single" w:color="auto" w:sz="4" w:space="0"/>
              <w:right w:val="single" w:color="auto" w:sz="4" w:space="0"/>
            </w:tcBorders>
            <w:noWrap w:val="0"/>
            <w:vAlign w:val="center"/>
          </w:tcPr>
          <w:p w14:paraId="6B3FD4F4">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审</w:t>
            </w:r>
          </w:p>
          <w:p w14:paraId="012647F5">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查</w:t>
            </w:r>
          </w:p>
          <w:p w14:paraId="0E9F8744">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标</w:t>
            </w:r>
          </w:p>
          <w:p w14:paraId="6B6BDE37">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准</w:t>
            </w:r>
          </w:p>
        </w:tc>
        <w:tc>
          <w:tcPr>
            <w:tcW w:w="574" w:type="dxa"/>
            <w:tcBorders>
              <w:top w:val="single" w:color="auto" w:sz="4" w:space="0"/>
              <w:left w:val="single" w:color="auto" w:sz="4" w:space="0"/>
              <w:right w:val="single" w:color="auto" w:sz="4" w:space="0"/>
            </w:tcBorders>
            <w:noWrap w:val="0"/>
            <w:vAlign w:val="center"/>
          </w:tcPr>
          <w:p w14:paraId="71E06214">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1</w:t>
            </w:r>
          </w:p>
        </w:tc>
        <w:tc>
          <w:tcPr>
            <w:tcW w:w="6378" w:type="dxa"/>
            <w:tcBorders>
              <w:top w:val="single" w:color="auto" w:sz="4" w:space="0"/>
              <w:left w:val="single" w:color="auto" w:sz="4" w:space="0"/>
              <w:right w:val="single" w:color="auto" w:sz="4" w:space="0"/>
            </w:tcBorders>
            <w:noWrap w:val="0"/>
            <w:vAlign w:val="center"/>
          </w:tcPr>
          <w:p w14:paraId="0058C3B5">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kern w:val="0"/>
                <w:sz w:val="28"/>
                <w:szCs w:val="28"/>
                <w:highlight w:val="none"/>
                <w:lang w:bidi="ar"/>
              </w:rPr>
              <w:t>由政府立项核准、审批的采购项目, 报价高于设定的采购预算价的；</w:t>
            </w:r>
          </w:p>
        </w:tc>
        <w:tc>
          <w:tcPr>
            <w:tcW w:w="482" w:type="dxa"/>
            <w:tcBorders>
              <w:left w:val="single" w:color="auto" w:sz="4" w:space="0"/>
              <w:right w:val="single" w:color="auto" w:sz="4" w:space="0"/>
            </w:tcBorders>
            <w:noWrap w:val="0"/>
            <w:vAlign w:val="top"/>
          </w:tcPr>
          <w:p w14:paraId="7F16D35D">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p>
        </w:tc>
        <w:tc>
          <w:tcPr>
            <w:tcW w:w="884" w:type="dxa"/>
            <w:tcBorders>
              <w:left w:val="single" w:color="auto" w:sz="4" w:space="0"/>
              <w:right w:val="single" w:color="auto" w:sz="4" w:space="0"/>
            </w:tcBorders>
            <w:noWrap w:val="0"/>
            <w:vAlign w:val="top"/>
          </w:tcPr>
          <w:p w14:paraId="62C5920A">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p>
        </w:tc>
      </w:tr>
      <w:tr w14:paraId="457F47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117" w:type="dxa"/>
            <w:vMerge w:val="continue"/>
            <w:tcBorders>
              <w:left w:val="single" w:color="auto" w:sz="4" w:space="0"/>
              <w:right w:val="single" w:color="auto" w:sz="4" w:space="0"/>
            </w:tcBorders>
            <w:noWrap w:val="0"/>
            <w:vAlign w:val="center"/>
          </w:tcPr>
          <w:p w14:paraId="21F1CE3A">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top w:val="single" w:color="auto" w:sz="4" w:space="0"/>
              <w:left w:val="single" w:color="auto" w:sz="4" w:space="0"/>
              <w:bottom w:val="single" w:color="auto" w:sz="4" w:space="0"/>
              <w:right w:val="single" w:color="auto" w:sz="4" w:space="0"/>
            </w:tcBorders>
            <w:noWrap w:val="0"/>
            <w:vAlign w:val="center"/>
          </w:tcPr>
          <w:p w14:paraId="00C788CF">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2</w:t>
            </w:r>
          </w:p>
        </w:tc>
        <w:tc>
          <w:tcPr>
            <w:tcW w:w="6378" w:type="dxa"/>
            <w:tcBorders>
              <w:top w:val="single" w:color="auto" w:sz="4" w:space="0"/>
              <w:left w:val="single" w:color="auto" w:sz="4" w:space="0"/>
              <w:bottom w:val="single" w:color="auto" w:sz="4" w:space="0"/>
              <w:right w:val="single" w:color="auto" w:sz="4" w:space="0"/>
            </w:tcBorders>
            <w:noWrap w:val="0"/>
            <w:vAlign w:val="center"/>
          </w:tcPr>
          <w:p w14:paraId="08738857">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kern w:val="0"/>
                <w:sz w:val="28"/>
                <w:szCs w:val="28"/>
                <w:highlight w:val="none"/>
                <w:lang w:bidi="ar"/>
              </w:rPr>
              <w:t>法定代表人身份证明及授权委托书有效，且符合</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eastAsia="zh-CN" w:bidi="ar"/>
              </w:rPr>
              <w:t>文件</w:t>
            </w:r>
            <w:r>
              <w:rPr>
                <w:rFonts w:hint="eastAsia" w:ascii="仿宋" w:hAnsi="仿宋" w:eastAsia="仿宋" w:cs="仿宋"/>
                <w:b w:val="0"/>
                <w:bCs/>
                <w:color w:val="auto"/>
                <w:kern w:val="0"/>
                <w:sz w:val="28"/>
                <w:szCs w:val="28"/>
                <w:highlight w:val="none"/>
                <w:lang w:bidi="ar"/>
              </w:rPr>
              <w:t>规定的格式。</w:t>
            </w:r>
          </w:p>
        </w:tc>
        <w:tc>
          <w:tcPr>
            <w:tcW w:w="482" w:type="dxa"/>
            <w:tcBorders>
              <w:left w:val="single" w:color="auto" w:sz="4" w:space="0"/>
            </w:tcBorders>
            <w:noWrap w:val="0"/>
            <w:vAlign w:val="top"/>
          </w:tcPr>
          <w:p w14:paraId="6308E028">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26FC3C57">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65D146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4" w:hRule="atLeast"/>
        </w:trPr>
        <w:tc>
          <w:tcPr>
            <w:tcW w:w="1117" w:type="dxa"/>
            <w:vMerge w:val="continue"/>
            <w:tcBorders>
              <w:left w:val="single" w:color="auto" w:sz="4" w:space="0"/>
              <w:right w:val="single" w:color="auto" w:sz="4" w:space="0"/>
            </w:tcBorders>
            <w:noWrap w:val="0"/>
            <w:vAlign w:val="center"/>
          </w:tcPr>
          <w:p w14:paraId="1EE6A9B6">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top w:val="single" w:color="auto" w:sz="4" w:space="0"/>
              <w:left w:val="single" w:color="auto" w:sz="4" w:space="0"/>
              <w:right w:val="single" w:color="auto" w:sz="4" w:space="0"/>
            </w:tcBorders>
            <w:noWrap w:val="0"/>
            <w:vAlign w:val="center"/>
          </w:tcPr>
          <w:p w14:paraId="1DA3F8B9">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3</w:t>
            </w:r>
          </w:p>
        </w:tc>
        <w:tc>
          <w:tcPr>
            <w:tcW w:w="6378" w:type="dxa"/>
            <w:tcBorders>
              <w:top w:val="single" w:color="auto" w:sz="4" w:space="0"/>
              <w:left w:val="single" w:color="auto" w:sz="4" w:space="0"/>
              <w:right w:val="single" w:color="auto" w:sz="4" w:space="0"/>
            </w:tcBorders>
            <w:noWrap w:val="0"/>
            <w:vAlign w:val="center"/>
          </w:tcPr>
          <w:p w14:paraId="28320B82">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kern w:val="0"/>
                <w:sz w:val="28"/>
                <w:szCs w:val="28"/>
                <w:highlight w:val="none"/>
                <w:lang w:bidi="ar"/>
              </w:rPr>
              <w:t>只有一个方案投标。</w:t>
            </w:r>
          </w:p>
        </w:tc>
        <w:tc>
          <w:tcPr>
            <w:tcW w:w="482" w:type="dxa"/>
            <w:tcBorders>
              <w:left w:val="single" w:color="auto" w:sz="4" w:space="0"/>
            </w:tcBorders>
            <w:noWrap w:val="0"/>
            <w:vAlign w:val="top"/>
          </w:tcPr>
          <w:p w14:paraId="62327F57">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7E85A362">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1C94F9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 w:hRule="atLeast"/>
        </w:trPr>
        <w:tc>
          <w:tcPr>
            <w:tcW w:w="1117" w:type="dxa"/>
            <w:vMerge w:val="continue"/>
            <w:tcBorders>
              <w:left w:val="single" w:color="auto" w:sz="4" w:space="0"/>
              <w:right w:val="single" w:color="auto" w:sz="4" w:space="0"/>
            </w:tcBorders>
            <w:noWrap w:val="0"/>
            <w:vAlign w:val="center"/>
          </w:tcPr>
          <w:p w14:paraId="07DF7F5A">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left w:val="single" w:color="auto" w:sz="4" w:space="0"/>
            </w:tcBorders>
            <w:noWrap w:val="0"/>
            <w:vAlign w:val="center"/>
          </w:tcPr>
          <w:p w14:paraId="22010453">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lang w:val="en-US" w:eastAsia="zh-CN"/>
              </w:rPr>
              <w:t>4</w:t>
            </w:r>
          </w:p>
        </w:tc>
        <w:tc>
          <w:tcPr>
            <w:tcW w:w="6378" w:type="dxa"/>
            <w:tcBorders>
              <w:right w:val="single" w:color="auto" w:sz="4" w:space="0"/>
            </w:tcBorders>
            <w:noWrap w:val="0"/>
            <w:vAlign w:val="center"/>
          </w:tcPr>
          <w:p w14:paraId="7ACD34BA">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kern w:val="0"/>
                <w:sz w:val="28"/>
                <w:szCs w:val="28"/>
                <w:highlight w:val="none"/>
                <w:lang w:bidi="ar"/>
              </w:rPr>
              <w:t>投标文件内容齐全、无遗漏。</w:t>
            </w:r>
          </w:p>
        </w:tc>
        <w:tc>
          <w:tcPr>
            <w:tcW w:w="482" w:type="dxa"/>
            <w:tcBorders>
              <w:left w:val="single" w:color="auto" w:sz="4" w:space="0"/>
            </w:tcBorders>
            <w:noWrap w:val="0"/>
            <w:vAlign w:val="top"/>
          </w:tcPr>
          <w:p w14:paraId="70986B45">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76C8C047">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1006B8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17" w:type="dxa"/>
            <w:vMerge w:val="continue"/>
            <w:tcBorders>
              <w:left w:val="single" w:color="auto" w:sz="4" w:space="0"/>
              <w:right w:val="single" w:color="auto" w:sz="4" w:space="0"/>
            </w:tcBorders>
            <w:noWrap w:val="0"/>
            <w:vAlign w:val="center"/>
          </w:tcPr>
          <w:p w14:paraId="5ADD5CF4">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left w:val="single" w:color="auto" w:sz="4" w:space="0"/>
              <w:bottom w:val="single" w:color="auto" w:sz="4" w:space="0"/>
            </w:tcBorders>
            <w:noWrap w:val="0"/>
            <w:vAlign w:val="center"/>
          </w:tcPr>
          <w:p w14:paraId="3CCFE45C">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5</w:t>
            </w:r>
          </w:p>
        </w:tc>
        <w:tc>
          <w:tcPr>
            <w:tcW w:w="6378" w:type="dxa"/>
            <w:tcBorders>
              <w:bottom w:val="single" w:color="auto" w:sz="4" w:space="0"/>
              <w:right w:val="single" w:color="auto" w:sz="4" w:space="0"/>
            </w:tcBorders>
            <w:noWrap w:val="0"/>
            <w:vAlign w:val="center"/>
          </w:tcPr>
          <w:p w14:paraId="4CA2A678">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kern w:val="0"/>
                <w:sz w:val="28"/>
                <w:szCs w:val="28"/>
                <w:highlight w:val="none"/>
                <w:lang w:bidi="ar"/>
              </w:rPr>
              <w:t>对</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bidi="ar"/>
              </w:rPr>
              <w:t>文件规定的招标内容全部作出响应。</w:t>
            </w:r>
          </w:p>
        </w:tc>
        <w:tc>
          <w:tcPr>
            <w:tcW w:w="482" w:type="dxa"/>
            <w:tcBorders>
              <w:left w:val="single" w:color="auto" w:sz="4" w:space="0"/>
              <w:bottom w:val="single" w:color="auto" w:sz="4" w:space="0"/>
            </w:tcBorders>
            <w:noWrap w:val="0"/>
            <w:vAlign w:val="top"/>
          </w:tcPr>
          <w:p w14:paraId="13F5F680">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bottom w:val="single" w:color="auto" w:sz="4" w:space="0"/>
              <w:right w:val="single" w:color="auto" w:sz="4" w:space="0"/>
            </w:tcBorders>
            <w:noWrap w:val="0"/>
            <w:vAlign w:val="top"/>
          </w:tcPr>
          <w:p w14:paraId="1E0C815F">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04104D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8" w:hRule="atLeast"/>
        </w:trPr>
        <w:tc>
          <w:tcPr>
            <w:tcW w:w="1117" w:type="dxa"/>
            <w:vMerge w:val="continue"/>
            <w:tcBorders>
              <w:left w:val="single" w:color="auto" w:sz="4" w:space="0"/>
              <w:right w:val="single" w:color="auto" w:sz="4" w:space="0"/>
            </w:tcBorders>
            <w:noWrap w:val="0"/>
            <w:vAlign w:val="center"/>
          </w:tcPr>
          <w:p w14:paraId="1242B88D">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top w:val="single" w:color="auto" w:sz="4" w:space="0"/>
              <w:left w:val="single" w:color="auto" w:sz="4" w:space="0"/>
              <w:bottom w:val="single" w:color="auto" w:sz="4" w:space="0"/>
              <w:right w:val="single" w:color="auto" w:sz="4" w:space="0"/>
            </w:tcBorders>
            <w:noWrap w:val="0"/>
            <w:vAlign w:val="center"/>
          </w:tcPr>
          <w:p w14:paraId="40C07108">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6</w:t>
            </w:r>
          </w:p>
        </w:tc>
        <w:tc>
          <w:tcPr>
            <w:tcW w:w="6378" w:type="dxa"/>
            <w:tcBorders>
              <w:top w:val="single" w:color="auto" w:sz="4" w:space="0"/>
              <w:left w:val="single" w:color="auto" w:sz="4" w:space="0"/>
              <w:bottom w:val="single" w:color="auto" w:sz="4" w:space="0"/>
              <w:right w:val="single" w:color="auto" w:sz="4" w:space="0"/>
            </w:tcBorders>
            <w:noWrap w:val="0"/>
            <w:vAlign w:val="center"/>
          </w:tcPr>
          <w:p w14:paraId="0145FCAC">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kern w:val="0"/>
                <w:sz w:val="28"/>
                <w:szCs w:val="28"/>
                <w:highlight w:val="none"/>
                <w:lang w:bidi="ar"/>
              </w:rPr>
              <w:t>满足</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bidi="ar"/>
              </w:rPr>
              <w:t>文件提出的技术和质量要求。</w:t>
            </w:r>
          </w:p>
        </w:tc>
        <w:tc>
          <w:tcPr>
            <w:tcW w:w="482" w:type="dxa"/>
            <w:tcBorders>
              <w:top w:val="single" w:color="auto" w:sz="4" w:space="0"/>
              <w:left w:val="single" w:color="auto" w:sz="4" w:space="0"/>
              <w:bottom w:val="single" w:color="auto" w:sz="4" w:space="0"/>
              <w:right w:val="single" w:color="auto" w:sz="4" w:space="0"/>
            </w:tcBorders>
            <w:noWrap w:val="0"/>
            <w:vAlign w:val="top"/>
          </w:tcPr>
          <w:p w14:paraId="2AC1086A">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top w:val="single" w:color="auto" w:sz="4" w:space="0"/>
              <w:left w:val="single" w:color="auto" w:sz="4" w:space="0"/>
              <w:bottom w:val="single" w:color="auto" w:sz="4" w:space="0"/>
              <w:right w:val="single" w:color="auto" w:sz="4" w:space="0"/>
            </w:tcBorders>
            <w:noWrap w:val="0"/>
            <w:vAlign w:val="top"/>
          </w:tcPr>
          <w:p w14:paraId="762E609E">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19ED52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1" w:hRule="atLeast"/>
        </w:trPr>
        <w:tc>
          <w:tcPr>
            <w:tcW w:w="1117" w:type="dxa"/>
            <w:vMerge w:val="continue"/>
            <w:tcBorders>
              <w:left w:val="single" w:color="auto" w:sz="4" w:space="0"/>
              <w:right w:val="single" w:color="auto" w:sz="4" w:space="0"/>
            </w:tcBorders>
            <w:noWrap w:val="0"/>
            <w:vAlign w:val="center"/>
          </w:tcPr>
          <w:p w14:paraId="463104F2">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top w:val="single" w:color="auto" w:sz="4" w:space="0"/>
              <w:left w:val="single" w:color="auto" w:sz="4" w:space="0"/>
            </w:tcBorders>
            <w:noWrap w:val="0"/>
            <w:vAlign w:val="center"/>
          </w:tcPr>
          <w:p w14:paraId="100D8A16">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7</w:t>
            </w:r>
          </w:p>
        </w:tc>
        <w:tc>
          <w:tcPr>
            <w:tcW w:w="6378" w:type="dxa"/>
            <w:tcBorders>
              <w:top w:val="single" w:color="auto" w:sz="4" w:space="0"/>
              <w:right w:val="single" w:color="auto" w:sz="4" w:space="0"/>
            </w:tcBorders>
            <w:noWrap w:val="0"/>
            <w:vAlign w:val="center"/>
          </w:tcPr>
          <w:p w14:paraId="7A3FC7E4">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kern w:val="0"/>
                <w:sz w:val="28"/>
                <w:szCs w:val="28"/>
                <w:highlight w:val="none"/>
                <w:lang w:bidi="ar"/>
              </w:rPr>
              <w:t>完成期限满足</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bidi="ar"/>
              </w:rPr>
              <w:t>文件要求。</w:t>
            </w:r>
          </w:p>
        </w:tc>
        <w:tc>
          <w:tcPr>
            <w:tcW w:w="482" w:type="dxa"/>
            <w:tcBorders>
              <w:top w:val="single" w:color="auto" w:sz="4" w:space="0"/>
              <w:left w:val="single" w:color="auto" w:sz="4" w:space="0"/>
            </w:tcBorders>
            <w:noWrap w:val="0"/>
            <w:vAlign w:val="top"/>
          </w:tcPr>
          <w:p w14:paraId="1A273941">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top w:val="single" w:color="auto" w:sz="4" w:space="0"/>
              <w:right w:val="single" w:color="auto" w:sz="4" w:space="0"/>
            </w:tcBorders>
            <w:noWrap w:val="0"/>
            <w:vAlign w:val="top"/>
          </w:tcPr>
          <w:p w14:paraId="685BE22E">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23252D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8" w:hRule="atLeast"/>
        </w:trPr>
        <w:tc>
          <w:tcPr>
            <w:tcW w:w="1117" w:type="dxa"/>
            <w:vMerge w:val="continue"/>
            <w:tcBorders>
              <w:left w:val="single" w:color="auto" w:sz="4" w:space="0"/>
              <w:right w:val="single" w:color="auto" w:sz="4" w:space="0"/>
            </w:tcBorders>
            <w:noWrap w:val="0"/>
            <w:vAlign w:val="center"/>
          </w:tcPr>
          <w:p w14:paraId="6555C2B8">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left w:val="single" w:color="auto" w:sz="4" w:space="0"/>
            </w:tcBorders>
            <w:noWrap w:val="0"/>
            <w:vAlign w:val="center"/>
          </w:tcPr>
          <w:p w14:paraId="6F71439B">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8</w:t>
            </w:r>
          </w:p>
        </w:tc>
        <w:tc>
          <w:tcPr>
            <w:tcW w:w="6378" w:type="dxa"/>
            <w:tcBorders>
              <w:right w:val="single" w:color="auto" w:sz="4" w:space="0"/>
            </w:tcBorders>
            <w:noWrap w:val="0"/>
            <w:vAlign w:val="center"/>
          </w:tcPr>
          <w:p w14:paraId="245EE86B">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kern w:val="0"/>
                <w:sz w:val="28"/>
                <w:szCs w:val="28"/>
                <w:highlight w:val="none"/>
                <w:lang w:bidi="ar"/>
              </w:rPr>
              <w:t>售后服务满足</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bidi="ar"/>
              </w:rPr>
              <w:t>文件要求。</w:t>
            </w:r>
          </w:p>
        </w:tc>
        <w:tc>
          <w:tcPr>
            <w:tcW w:w="482" w:type="dxa"/>
            <w:tcBorders>
              <w:left w:val="single" w:color="auto" w:sz="4" w:space="0"/>
            </w:tcBorders>
            <w:noWrap w:val="0"/>
            <w:vAlign w:val="top"/>
          </w:tcPr>
          <w:p w14:paraId="6B8EBBA2">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76FF6DE0">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295EFE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2" w:hRule="atLeast"/>
        </w:trPr>
        <w:tc>
          <w:tcPr>
            <w:tcW w:w="1117" w:type="dxa"/>
            <w:vMerge w:val="continue"/>
            <w:tcBorders>
              <w:left w:val="single" w:color="auto" w:sz="4" w:space="0"/>
              <w:right w:val="single" w:color="auto" w:sz="4" w:space="0"/>
            </w:tcBorders>
            <w:noWrap w:val="0"/>
            <w:vAlign w:val="center"/>
          </w:tcPr>
          <w:p w14:paraId="2E6FCE35">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left w:val="single" w:color="auto" w:sz="4" w:space="0"/>
            </w:tcBorders>
            <w:noWrap w:val="0"/>
            <w:vAlign w:val="center"/>
          </w:tcPr>
          <w:p w14:paraId="647A5D71">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9</w:t>
            </w:r>
          </w:p>
        </w:tc>
        <w:tc>
          <w:tcPr>
            <w:tcW w:w="6378" w:type="dxa"/>
            <w:tcBorders>
              <w:right w:val="single" w:color="auto" w:sz="4" w:space="0"/>
            </w:tcBorders>
            <w:noWrap w:val="0"/>
            <w:vAlign w:val="center"/>
          </w:tcPr>
          <w:p w14:paraId="5FAEB300">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kern w:val="0"/>
                <w:sz w:val="28"/>
                <w:szCs w:val="28"/>
                <w:highlight w:val="none"/>
                <w:lang w:bidi="ar"/>
              </w:rPr>
              <w:t>投标有效期满足</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bidi="ar"/>
              </w:rPr>
              <w:t>文件要求。</w:t>
            </w:r>
          </w:p>
        </w:tc>
        <w:tc>
          <w:tcPr>
            <w:tcW w:w="482" w:type="dxa"/>
            <w:tcBorders>
              <w:left w:val="single" w:color="auto" w:sz="4" w:space="0"/>
            </w:tcBorders>
            <w:noWrap w:val="0"/>
            <w:vAlign w:val="top"/>
          </w:tcPr>
          <w:p w14:paraId="0E9EB354">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32BADA23">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59F391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17" w:type="dxa"/>
            <w:vMerge w:val="continue"/>
            <w:tcBorders>
              <w:left w:val="single" w:color="auto" w:sz="4" w:space="0"/>
              <w:right w:val="single" w:color="auto" w:sz="4" w:space="0"/>
            </w:tcBorders>
            <w:noWrap w:val="0"/>
            <w:vAlign w:val="center"/>
          </w:tcPr>
          <w:p w14:paraId="07893842">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left w:val="single" w:color="auto" w:sz="4" w:space="0"/>
            </w:tcBorders>
            <w:noWrap w:val="0"/>
            <w:vAlign w:val="center"/>
          </w:tcPr>
          <w:p w14:paraId="6EA0A5EB">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10</w:t>
            </w:r>
          </w:p>
        </w:tc>
        <w:tc>
          <w:tcPr>
            <w:tcW w:w="6378" w:type="dxa"/>
            <w:tcBorders>
              <w:right w:val="single" w:color="auto" w:sz="4" w:space="0"/>
            </w:tcBorders>
            <w:noWrap w:val="0"/>
            <w:vAlign w:val="center"/>
          </w:tcPr>
          <w:p w14:paraId="12121CB5">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kern w:val="0"/>
                <w:sz w:val="28"/>
                <w:szCs w:val="28"/>
                <w:highlight w:val="none"/>
                <w:lang w:bidi="ar"/>
              </w:rPr>
              <w:t>投标人详细地址、联系人、电话</w:t>
            </w:r>
          </w:p>
        </w:tc>
        <w:tc>
          <w:tcPr>
            <w:tcW w:w="482" w:type="dxa"/>
            <w:tcBorders>
              <w:left w:val="single" w:color="auto" w:sz="4" w:space="0"/>
            </w:tcBorders>
            <w:noWrap w:val="0"/>
            <w:vAlign w:val="top"/>
          </w:tcPr>
          <w:p w14:paraId="6550DB45">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1FA10375">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648FE7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9" w:hRule="atLeast"/>
        </w:trPr>
        <w:tc>
          <w:tcPr>
            <w:tcW w:w="1117" w:type="dxa"/>
            <w:tcBorders>
              <w:left w:val="single" w:color="auto" w:sz="4" w:space="0"/>
              <w:bottom w:val="single" w:color="auto" w:sz="4" w:space="0"/>
              <w:right w:val="single" w:color="auto" w:sz="4" w:space="0"/>
            </w:tcBorders>
            <w:noWrap w:val="0"/>
            <w:vAlign w:val="center"/>
          </w:tcPr>
          <w:p w14:paraId="367DDCE9">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p>
        </w:tc>
        <w:tc>
          <w:tcPr>
            <w:tcW w:w="6952" w:type="dxa"/>
            <w:gridSpan w:val="2"/>
            <w:tcBorders>
              <w:left w:val="single" w:color="auto" w:sz="4" w:space="0"/>
              <w:bottom w:val="single" w:color="auto" w:sz="4" w:space="0"/>
              <w:right w:val="single" w:color="auto" w:sz="4" w:space="0"/>
            </w:tcBorders>
            <w:noWrap w:val="0"/>
            <w:vAlign w:val="top"/>
          </w:tcPr>
          <w:p w14:paraId="62D8931C">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结论：是否通过评审（须填写通过或不通过）</w:t>
            </w:r>
          </w:p>
          <w:p w14:paraId="6B69C6DB">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注：如有一项不合格，作废标处理。</w:t>
            </w:r>
          </w:p>
        </w:tc>
        <w:tc>
          <w:tcPr>
            <w:tcW w:w="1366" w:type="dxa"/>
            <w:gridSpan w:val="2"/>
            <w:tcBorders>
              <w:left w:val="single" w:color="auto" w:sz="4" w:space="0"/>
              <w:bottom w:val="single" w:color="auto" w:sz="4" w:space="0"/>
              <w:right w:val="single" w:color="auto" w:sz="4" w:space="0"/>
            </w:tcBorders>
            <w:noWrap w:val="0"/>
            <w:vAlign w:val="top"/>
          </w:tcPr>
          <w:p w14:paraId="4C7C5CD7">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bl>
    <w:p w14:paraId="7573B8CA">
      <w:pPr>
        <w:numPr>
          <w:ilvl w:val="0"/>
          <w:numId w:val="0"/>
        </w:numPr>
        <w:spacing w:line="400" w:lineRule="exact"/>
        <w:ind w:firstLine="11400" w:firstLineChars="4000"/>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 xml:space="preserve"> 1、</w:t>
      </w:r>
      <w:r>
        <w:rPr>
          <w:rFonts w:hint="eastAsia" w:ascii="仿宋" w:hAnsi="仿宋" w:eastAsia="仿宋" w:cs="仿宋"/>
          <w:color w:val="auto"/>
          <w:sz w:val="28"/>
          <w:szCs w:val="28"/>
        </w:rPr>
        <w:t>评委会判定</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的响应性只根据</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本身的内容，而不寻求外部的证</w:t>
      </w:r>
    </w:p>
    <w:p w14:paraId="169854B5">
      <w:pPr>
        <w:spacing w:line="400" w:lineRule="exact"/>
        <w:rPr>
          <w:rFonts w:hint="eastAsia" w:ascii="仿宋" w:hAnsi="仿宋" w:eastAsia="仿宋" w:cs="仿宋"/>
          <w:color w:val="auto"/>
          <w:sz w:val="28"/>
          <w:szCs w:val="28"/>
        </w:rPr>
      </w:pPr>
      <w:r>
        <w:rPr>
          <w:rFonts w:hint="eastAsia" w:ascii="仿宋" w:hAnsi="仿宋" w:eastAsia="仿宋" w:cs="仿宋"/>
          <w:color w:val="auto"/>
          <w:sz w:val="28"/>
          <w:szCs w:val="28"/>
        </w:rPr>
        <w:t>据，但投标有不真实不正确的内容时除外。</w:t>
      </w:r>
    </w:p>
    <w:p w14:paraId="7ED8B0A2">
      <w:pPr>
        <w:spacing w:line="400" w:lineRule="exact"/>
        <w:ind w:left="490" w:left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2、</w:t>
      </w:r>
      <w:r>
        <w:rPr>
          <w:rFonts w:hint="eastAsia" w:ascii="仿宋" w:hAnsi="仿宋" w:eastAsia="仿宋" w:cs="仿宋"/>
          <w:color w:val="auto"/>
          <w:sz w:val="28"/>
          <w:szCs w:val="28"/>
        </w:rPr>
        <w:t>如果</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实质上没有响应</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的要求，评委会将予以拒绝，投标人不得通过修正或撤销不符合要求的偏离或保留，而使其投标成为实质上响应的投标。</w:t>
      </w:r>
    </w:p>
    <w:p w14:paraId="6DA4244B">
      <w:pPr>
        <w:spacing w:line="400" w:lineRule="exact"/>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3、</w:t>
      </w:r>
      <w:r>
        <w:rPr>
          <w:rFonts w:hint="eastAsia" w:ascii="仿宋" w:hAnsi="仿宋" w:eastAsia="仿宋" w:cs="仿宋"/>
          <w:color w:val="auto"/>
          <w:sz w:val="28"/>
          <w:szCs w:val="28"/>
        </w:rPr>
        <w:t>投标人可在现场20分钟内对评标委员会的评审结论提出异议，评标委员会根据</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及有关规定对投标人的异议进行复议</w:t>
      </w:r>
    </w:p>
    <w:p w14:paraId="2B0D94F6">
      <w:pPr>
        <w:spacing w:line="400" w:lineRule="exact"/>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4、</w:t>
      </w:r>
      <w:r>
        <w:rPr>
          <w:rFonts w:hint="eastAsia" w:ascii="仿宋" w:hAnsi="仿宋" w:eastAsia="仿宋" w:cs="仿宋"/>
          <w:color w:val="auto"/>
          <w:sz w:val="28"/>
          <w:szCs w:val="28"/>
        </w:rPr>
        <w:t>只有通过初审的投标人才能进入下一步评标程序。</w:t>
      </w:r>
    </w:p>
    <w:p w14:paraId="328EB6FB">
      <w:pPr>
        <w:spacing w:line="400" w:lineRule="exact"/>
        <w:ind w:firstLine="570" w:firstLineChars="200"/>
        <w:rPr>
          <w:rFonts w:hint="eastAsia" w:ascii="仿宋" w:hAnsi="仿宋" w:eastAsia="仿宋" w:cs="仿宋"/>
          <w:color w:val="auto"/>
          <w:sz w:val="28"/>
          <w:szCs w:val="28"/>
        </w:rPr>
      </w:pPr>
      <w:r>
        <w:rPr>
          <w:rFonts w:hint="eastAsia" w:ascii="仿宋" w:hAnsi="仿宋" w:eastAsia="仿宋" w:cs="仿宋"/>
          <w:b/>
          <w:color w:val="auto"/>
          <w:sz w:val="28"/>
          <w:szCs w:val="28"/>
        </w:rPr>
        <w:t>温馨提示：</w:t>
      </w:r>
      <w:r>
        <w:rPr>
          <w:rFonts w:hint="eastAsia" w:ascii="仿宋" w:hAnsi="仿宋" w:eastAsia="仿宋" w:cs="仿宋"/>
          <w:b/>
          <w:color w:val="auto"/>
          <w:sz w:val="28"/>
          <w:szCs w:val="28"/>
          <w:lang w:eastAsia="zh-CN"/>
        </w:rPr>
        <w:t>响应文件</w:t>
      </w:r>
      <w:r>
        <w:rPr>
          <w:rFonts w:hint="eastAsia" w:ascii="仿宋" w:hAnsi="仿宋" w:eastAsia="仿宋" w:cs="仿宋"/>
          <w:b/>
          <w:color w:val="auto"/>
          <w:sz w:val="28"/>
          <w:szCs w:val="28"/>
        </w:rPr>
        <w:t>资格审查资料请精心准备,如评标专家在检验电子标书过程中，如果由于投标人自身原因导致评标专家无法查看并检验电子标书中以上相关资料的，按无效投标处理。</w:t>
      </w:r>
    </w:p>
    <w:p w14:paraId="04A6B884">
      <w:pPr>
        <w:spacing w:beforeLines="50" w:line="400" w:lineRule="exact"/>
        <w:jc w:val="center"/>
        <w:outlineLvl w:val="1"/>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（二）响应文件</w:t>
      </w:r>
      <w:r>
        <w:rPr>
          <w:rFonts w:hint="eastAsia" w:ascii="仿宋" w:hAnsi="仿宋" w:eastAsia="仿宋" w:cs="仿宋"/>
          <w:b/>
          <w:color w:val="auto"/>
          <w:sz w:val="28"/>
          <w:szCs w:val="28"/>
        </w:rPr>
        <w:t>的澄清和补正</w:t>
      </w:r>
    </w:p>
    <w:p w14:paraId="2B605007">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5、澄清、说明或补正的形式</w:t>
      </w:r>
    </w:p>
    <w:p w14:paraId="29D4B1C0">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6、对于响应文件中含义不明确、同类问题表述不一致或者有明显文字和计算错误的内容，评标委员会将通过“政府采购云平台”在线询标的方式要求投标供应商在规定的时间内作出必要的澄清、说明或者补正，投标供应商澄清、说明或补正时间为</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0分钟。</w:t>
      </w:r>
    </w:p>
    <w:p w14:paraId="250A01D9">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7、投标供应商的澄清、说明或者补正应当通过“政府采购云平台”在线答复的方式提交，并加盖公章（电子印章），或者由法定代表人（负责人）或其授权的代表签章。投标供应商的澄清、说明或者补正不得超出响应文件的范围或者改变响应文件的实质性内容，不接受投标供应商主动对响应文件的澄清、说明或者补正。</w:t>
      </w:r>
    </w:p>
    <w:p w14:paraId="5804867D">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8、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7B3BF00F">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9．错误修正的原则</w:t>
      </w:r>
    </w:p>
    <w:p w14:paraId="43D6924B">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电子交易平台客户端里开标一览表录入的投标报价或优惠率与扫描上传的报价文件信息不一致的，以扫描上传的报价文件信息为准进行修正。</w:t>
      </w:r>
    </w:p>
    <w:p w14:paraId="38408BF3">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响应文件报价出现前后不一致的，除谈判文件 另有规定外，按照下列规定修正：</w:t>
      </w:r>
    </w:p>
    <w:p w14:paraId="6AD910F5">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10、投标函中表述的内容与报价表中不一致的，以报价表为准；报价表中的内容与报价明细表不一致的，以报价表为准；</w:t>
      </w:r>
    </w:p>
    <w:p w14:paraId="2E82E7AC">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11、响应文件中的大写金额和小写金额不一致的，以大写金额为准；</w:t>
      </w:r>
    </w:p>
    <w:p w14:paraId="2822D71A">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12、单价金额小数点或者百分比有明显错位的，以开标一览表的总价为准，并修改单价；</w:t>
      </w:r>
    </w:p>
    <w:p w14:paraId="0DD38442">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13、总价金额与按单价汇总金额不一致的，以单价金额计算结果为准；</w:t>
      </w:r>
    </w:p>
    <w:p w14:paraId="63467EDF">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14、若用文字表示的数值与用数字表示的数值不一致，以文字表示的数值为准；</w:t>
      </w:r>
    </w:p>
    <w:p w14:paraId="34E460FB">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15、如有多报（指数量超出谈判文件 需求）、重报（指同一货物重复报价），其投标总价在评标过程中不予调整，如其中标，其合同价按其投标单价予以调整；</w:t>
      </w:r>
    </w:p>
    <w:p w14:paraId="72B7461B">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16、对不同文字文本响应文件的解释发生异议的，以中文文本为准；</w:t>
      </w:r>
    </w:p>
    <w:p w14:paraId="1E04BC06">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同时出现两种以上不一致的，按照前款规定的顺序修正。按上述修正错误的原则及方法调整或修正响应文件的投标报价，供应商确认后，以调整或修正后的投标报价为准。如供应商拒绝调整或修正的，其响应文件按无效标处理。修正应当采用电子询标的形式，并加盖公章（电子印章）。</w:t>
      </w:r>
    </w:p>
    <w:p w14:paraId="6122936A">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17、供应商需要注意的其它事项：</w:t>
      </w:r>
    </w:p>
    <w:p w14:paraId="537681AF">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 供应商必须由法定代表人或其委托全权代理人参加竞争性谈判，法定代表人委托代理人参加竞争性谈判必须保证在开标期间，随时通过政府采购云平台接受谈判小组的询问，并予以解答问题。</w:t>
      </w:r>
    </w:p>
    <w:p w14:paraId="622EEF92">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2、供应商应遵守有关法律、法规，不得采取不正当的竞争手段，否则，其后果由供应商自负。</w:t>
      </w:r>
    </w:p>
    <w:p w14:paraId="7701C97F">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3、在谈判会直至宣布结果之前，供应商不得向谈判评审专家询问谈判情况，不得进行旨在影响成交结果的活动，否则，其竞争性谈判无效并追究相应责任。</w:t>
      </w:r>
    </w:p>
    <w:p w14:paraId="2E07D82B">
      <w:pPr>
        <w:spacing w:line="440" w:lineRule="exact"/>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4、本谈判文件的未尽事项，按现行的有关法律、法规及规章执行</w:t>
      </w:r>
    </w:p>
    <w:p w14:paraId="213D983F">
      <w:pPr>
        <w:pStyle w:val="4"/>
        <w:rPr>
          <w:rFonts w:hint="eastAsia" w:ascii="仿宋" w:hAnsi="仿宋" w:eastAsia="仿宋" w:cs="仿宋"/>
          <w:color w:val="auto"/>
          <w:sz w:val="28"/>
          <w:szCs w:val="28"/>
        </w:rPr>
      </w:pPr>
      <w:r>
        <w:rPr>
          <w:rFonts w:hint="eastAsia" w:ascii="仿宋" w:hAnsi="仿宋" w:eastAsia="仿宋" w:cs="仿宋"/>
          <w:color w:val="auto"/>
          <w:sz w:val="28"/>
          <w:szCs w:val="28"/>
        </w:rPr>
        <w:t>八、成交及合同签订</w:t>
      </w:r>
    </w:p>
    <w:p w14:paraId="4AB2BD58">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二十七</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成交</w:t>
      </w:r>
      <w:r>
        <w:rPr>
          <w:rFonts w:hint="eastAsia" w:ascii="仿宋" w:hAnsi="仿宋" w:eastAsia="仿宋" w:cs="仿宋"/>
          <w:b/>
          <w:bCs/>
          <w:color w:val="auto"/>
          <w:sz w:val="28"/>
          <w:szCs w:val="28"/>
        </w:rPr>
        <w:t>供应商</w:t>
      </w:r>
    </w:p>
    <w:p w14:paraId="3DC05E2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根据</w:t>
      </w:r>
      <w:r>
        <w:rPr>
          <w:rFonts w:hint="eastAsia" w:ascii="仿宋" w:hAnsi="仿宋" w:eastAsia="仿宋" w:cs="仿宋"/>
          <w:color w:val="auto"/>
          <w:sz w:val="28"/>
          <w:szCs w:val="28"/>
          <w:lang w:eastAsia="zh-CN"/>
        </w:rPr>
        <w:t>谈判小组</w:t>
      </w:r>
      <w:r>
        <w:rPr>
          <w:rFonts w:hint="eastAsia" w:ascii="仿宋" w:hAnsi="仿宋" w:eastAsia="仿宋" w:cs="仿宋"/>
          <w:color w:val="auto"/>
          <w:sz w:val="28"/>
          <w:szCs w:val="28"/>
        </w:rPr>
        <w:t>对各供应商满足</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实质性响应【</w:t>
      </w:r>
      <w:r>
        <w:rPr>
          <w:rFonts w:hint="eastAsia" w:ascii="仿宋" w:hAnsi="仿宋" w:eastAsia="仿宋" w:cs="仿宋"/>
          <w:b/>
          <w:color w:val="auto"/>
          <w:sz w:val="28"/>
          <w:szCs w:val="28"/>
        </w:rPr>
        <w:t>所谓实质性响应，是指响应文件应与</w:t>
      </w:r>
      <w:r>
        <w:rPr>
          <w:rFonts w:hint="eastAsia" w:ascii="仿宋" w:hAnsi="仿宋" w:eastAsia="仿宋" w:cs="仿宋"/>
          <w:b/>
          <w:bCs/>
          <w:color w:val="auto"/>
          <w:sz w:val="28"/>
          <w:szCs w:val="28"/>
          <w:lang w:eastAsia="zh-CN"/>
        </w:rPr>
        <w:t>谈判文件</w:t>
      </w:r>
      <w:r>
        <w:rPr>
          <w:rFonts w:hint="eastAsia" w:ascii="仿宋" w:hAnsi="仿宋" w:eastAsia="仿宋" w:cs="仿宋"/>
          <w:b/>
          <w:color w:val="auto"/>
          <w:sz w:val="28"/>
          <w:szCs w:val="28"/>
        </w:rPr>
        <w:t>的所有实质性条款、条件和要求相符，无显著差异或保留（由</w:t>
      </w:r>
      <w:r>
        <w:rPr>
          <w:rFonts w:hint="eastAsia" w:ascii="仿宋" w:hAnsi="仿宋" w:eastAsia="仿宋" w:cs="仿宋"/>
          <w:b/>
          <w:color w:val="auto"/>
          <w:sz w:val="28"/>
          <w:szCs w:val="28"/>
          <w:lang w:eastAsia="zh-CN"/>
        </w:rPr>
        <w:t>谈判小组</w:t>
      </w:r>
      <w:r>
        <w:rPr>
          <w:rFonts w:hint="eastAsia" w:ascii="仿宋" w:hAnsi="仿宋" w:eastAsia="仿宋" w:cs="仿宋"/>
          <w:b/>
          <w:color w:val="auto"/>
          <w:sz w:val="28"/>
          <w:szCs w:val="28"/>
        </w:rPr>
        <w:t>确定）、质量和服务相等且</w:t>
      </w:r>
      <w:r>
        <w:rPr>
          <w:rFonts w:hint="eastAsia" w:ascii="仿宋" w:hAnsi="仿宋" w:eastAsia="仿宋" w:cs="仿宋"/>
          <w:b/>
          <w:color w:val="auto"/>
          <w:sz w:val="28"/>
          <w:szCs w:val="28"/>
          <w:lang w:eastAsia="zh-CN"/>
        </w:rPr>
        <w:t>报价</w:t>
      </w:r>
      <w:r>
        <w:rPr>
          <w:rFonts w:hint="eastAsia" w:ascii="仿宋" w:hAnsi="仿宋" w:eastAsia="仿宋" w:cs="仿宋"/>
          <w:b/>
          <w:color w:val="auto"/>
          <w:sz w:val="28"/>
          <w:szCs w:val="28"/>
        </w:rPr>
        <w:t>最</w:t>
      </w:r>
      <w:r>
        <w:rPr>
          <w:rFonts w:hint="eastAsia" w:ascii="仿宋" w:hAnsi="仿宋" w:eastAsia="仿宋" w:cs="仿宋"/>
          <w:b/>
          <w:color w:val="auto"/>
          <w:sz w:val="28"/>
          <w:szCs w:val="28"/>
          <w:lang w:eastAsia="zh-CN"/>
        </w:rPr>
        <w:t>低</w:t>
      </w:r>
      <w:r>
        <w:rPr>
          <w:rFonts w:hint="eastAsia" w:ascii="仿宋" w:hAnsi="仿宋" w:eastAsia="仿宋" w:cs="仿宋"/>
          <w:b/>
          <w:color w:val="auto"/>
          <w:sz w:val="28"/>
          <w:szCs w:val="28"/>
        </w:rPr>
        <w:t>的原则确定成交候选供应商。</w:t>
      </w:r>
      <w:r>
        <w:rPr>
          <w:rFonts w:hint="eastAsia" w:ascii="仿宋" w:hAnsi="仿宋" w:eastAsia="仿宋" w:cs="仿宋"/>
          <w:color w:val="auto"/>
          <w:sz w:val="28"/>
          <w:szCs w:val="28"/>
        </w:rPr>
        <w:t>】</w:t>
      </w:r>
    </w:p>
    <w:p w14:paraId="714316CF">
      <w:pPr>
        <w:snapToGrid w:val="0"/>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采购人根据</w:t>
      </w:r>
      <w:r>
        <w:rPr>
          <w:rFonts w:hint="eastAsia" w:ascii="仿宋" w:hAnsi="仿宋" w:eastAsia="仿宋" w:cs="仿宋"/>
          <w:color w:val="auto"/>
          <w:sz w:val="28"/>
          <w:szCs w:val="28"/>
          <w:lang w:eastAsia="zh-CN"/>
        </w:rPr>
        <w:t>谈判小组</w:t>
      </w:r>
      <w:r>
        <w:rPr>
          <w:rFonts w:hint="eastAsia" w:ascii="仿宋" w:hAnsi="仿宋" w:eastAsia="仿宋" w:cs="仿宋"/>
          <w:color w:val="auto"/>
          <w:sz w:val="28"/>
          <w:szCs w:val="28"/>
        </w:rPr>
        <w:t>的评审报告，将排名</w:t>
      </w:r>
      <w:r>
        <w:rPr>
          <w:rFonts w:hint="eastAsia" w:ascii="仿宋" w:hAnsi="仿宋" w:eastAsia="仿宋" w:cs="仿宋"/>
          <w:color w:val="auto"/>
          <w:sz w:val="28"/>
          <w:szCs w:val="28"/>
          <w:lang w:eastAsia="zh-CN"/>
        </w:rPr>
        <w:t>第</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的成交候选人纳为</w:t>
      </w:r>
      <w:r>
        <w:rPr>
          <w:rFonts w:hint="eastAsia" w:ascii="仿宋" w:hAnsi="仿宋" w:eastAsia="仿宋" w:cs="仿宋"/>
          <w:color w:val="auto"/>
          <w:sz w:val="28"/>
          <w:szCs w:val="28"/>
          <w:lang w:eastAsia="zh-CN"/>
        </w:rPr>
        <w:t>克孜勒苏柯尔克孜自治州质量与计量检验检测中心检验检测设备采购项目</w:t>
      </w:r>
      <w:r>
        <w:rPr>
          <w:rFonts w:hint="eastAsia" w:ascii="仿宋" w:hAnsi="仿宋" w:eastAsia="仿宋" w:cs="仿宋"/>
          <w:color w:val="auto"/>
          <w:sz w:val="28"/>
          <w:szCs w:val="28"/>
        </w:rPr>
        <w:t>指定</w:t>
      </w:r>
      <w:r>
        <w:rPr>
          <w:rFonts w:hint="eastAsia" w:ascii="仿宋" w:hAnsi="仿宋" w:eastAsia="仿宋" w:cs="仿宋"/>
          <w:color w:val="auto"/>
          <w:sz w:val="28"/>
          <w:szCs w:val="28"/>
          <w:lang w:eastAsia="zh-CN"/>
        </w:rPr>
        <w:t>供应商。</w:t>
      </w:r>
    </w:p>
    <w:p w14:paraId="374C9761">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二十八</w:t>
      </w:r>
      <w:r>
        <w:rPr>
          <w:rFonts w:hint="eastAsia" w:ascii="仿宋" w:hAnsi="仿宋" w:eastAsia="仿宋" w:cs="仿宋"/>
          <w:b/>
          <w:bCs/>
          <w:color w:val="auto"/>
          <w:sz w:val="28"/>
          <w:szCs w:val="28"/>
        </w:rPr>
        <w:t>）资格条件</w:t>
      </w:r>
    </w:p>
    <w:p w14:paraId="51DF01E6">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采购人将在签订合同前对成交候选供应商是否能圆满地履行合同进行审查。审查包括成交候选供应商响应文件中提供的所有资格证明材料原件，成交候选供应商响应文件及补充承诺中涉及的其他相关资料原件，以及对本项目实施可能存在风险的其他因素。</w:t>
      </w:r>
    </w:p>
    <w:p w14:paraId="62D20115">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2、采购人若发现成交候选供应商在投标过程中提供虚假证明文件，故意隐瞒不良信誉和财务状况，以及存在可能对合同圆满履行造成风险的其他因素等，则按规定取消其成交资格，监管部门依法进行处理。</w:t>
      </w:r>
    </w:p>
    <w:p w14:paraId="3B715E79">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3、如果成交候选供应商被确认为不具备执行合同的能力，采购人将考虑按同样的程序审查下一个成交候选供应商。</w:t>
      </w:r>
    </w:p>
    <w:p w14:paraId="1C8CEC0A">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二十九</w:t>
      </w:r>
      <w:r>
        <w:rPr>
          <w:rFonts w:hint="eastAsia" w:ascii="仿宋" w:hAnsi="仿宋" w:eastAsia="仿宋" w:cs="仿宋"/>
          <w:b/>
          <w:bCs/>
          <w:color w:val="auto"/>
          <w:sz w:val="28"/>
          <w:szCs w:val="28"/>
        </w:rPr>
        <w:t>）成交通知书</w:t>
      </w:r>
    </w:p>
    <w:p w14:paraId="476DC6C5">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1、定标后，经采购人同意，采购代理机构应当向</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发出成交通知书。</w:t>
      </w:r>
    </w:p>
    <w:p w14:paraId="27602C50">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应及时到采购代理机构领取成交通知书，成交通知书是签订合同的依据和组成部分。</w:t>
      </w:r>
    </w:p>
    <w:p w14:paraId="3B0730F2">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（三十）签订合同</w:t>
      </w:r>
    </w:p>
    <w:p w14:paraId="7470367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在自成交通知书发出之日起30日内，依据《中华人民共和国经济</w:t>
      </w:r>
      <w:r>
        <w:rPr>
          <w:rFonts w:hint="eastAsia" w:ascii="仿宋" w:hAnsi="仿宋" w:eastAsia="仿宋" w:cs="仿宋"/>
          <w:color w:val="auto"/>
          <w:sz w:val="28"/>
          <w:szCs w:val="28"/>
          <w:lang w:val="en-US" w:eastAsia="zh-CN"/>
        </w:rPr>
        <w:t>民法典</w:t>
      </w:r>
      <w:r>
        <w:rPr>
          <w:rFonts w:hint="eastAsia" w:ascii="仿宋" w:hAnsi="仿宋" w:eastAsia="仿宋" w:cs="仿宋"/>
          <w:color w:val="auto"/>
          <w:sz w:val="28"/>
          <w:szCs w:val="28"/>
        </w:rPr>
        <w:t>》和有关法规及</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、响应文件与采购人签订合同。</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成交</w:t>
      </w:r>
      <w:r>
        <w:rPr>
          <w:rFonts w:hint="eastAsia" w:ascii="仿宋" w:hAnsi="仿宋" w:eastAsia="仿宋" w:cs="仿宋"/>
          <w:color w:val="auto"/>
          <w:sz w:val="28"/>
          <w:szCs w:val="28"/>
        </w:rPr>
        <w:t>供应商的响应文件及服务承诺文件以及评标过程中有关澄清文件均作为合同附件，合同经采购人审核盖章后实施。</w:t>
      </w:r>
    </w:p>
    <w:p w14:paraId="3B50E0CF">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未能按</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要求与采购单位签订采购合同，逾期将视为自动放弃中标资格，采购人将顺延下一中标候选人为</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，依次类推或依法重新进行采购。</w:t>
      </w:r>
    </w:p>
    <w:p w14:paraId="5A5AED70">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采购人若发现中标候</w:t>
      </w:r>
      <w:bookmarkStart w:id="10" w:name="_bookmark10"/>
      <w:bookmarkEnd w:id="10"/>
      <w:r>
        <w:rPr>
          <w:rFonts w:hint="eastAsia" w:ascii="仿宋" w:hAnsi="仿宋" w:eastAsia="仿宋" w:cs="仿宋"/>
          <w:color w:val="auto"/>
          <w:sz w:val="28"/>
          <w:szCs w:val="28"/>
        </w:rPr>
        <w:t>选供应商在竞标过程中提供虚假证明文件，故意隐瞒不良信誉和财务状况，以及存在可能对合同圆满履行造成风险的其他因素等，则按规定取消其中标资格，监管部门依法进行处理。</w:t>
      </w:r>
    </w:p>
    <w:p w14:paraId="3ED49742">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如果中标候选供应商被确认为不具备执行合同的能力，采购人将考虑按同样的程序审查下一个中标候选供应商或依法重新招标。</w:t>
      </w:r>
    </w:p>
    <w:p w14:paraId="2C53C43B">
      <w:pPr>
        <w:snapToGrid w:val="0"/>
        <w:spacing w:line="360" w:lineRule="auto"/>
        <w:ind w:firstLine="570"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rPr>
        <w:t>（三十</w:t>
      </w:r>
      <w:r>
        <w:rPr>
          <w:rFonts w:hint="eastAsia" w:ascii="仿宋" w:hAnsi="仿宋" w:eastAsia="仿宋" w:cs="仿宋"/>
          <w:b/>
          <w:bCs/>
          <w:color w:val="auto"/>
          <w:sz w:val="28"/>
          <w:szCs w:val="28"/>
          <w:lang w:eastAsia="zh-CN"/>
        </w:rPr>
        <w:t>一</w:t>
      </w:r>
      <w:r>
        <w:rPr>
          <w:rFonts w:hint="eastAsia" w:ascii="仿宋" w:hAnsi="仿宋" w:eastAsia="仿宋" w:cs="仿宋"/>
          <w:b/>
          <w:bCs/>
          <w:color w:val="auto"/>
          <w:sz w:val="28"/>
          <w:szCs w:val="28"/>
        </w:rPr>
        <w:t>）中标服务费计算方法</w:t>
      </w:r>
      <w:r>
        <w:rPr>
          <w:rFonts w:hint="eastAsia" w:ascii="仿宋" w:hAnsi="仿宋" w:eastAsia="仿宋" w:cs="仿宋"/>
          <w:b/>
          <w:bCs/>
          <w:color w:val="auto"/>
          <w:sz w:val="28"/>
          <w:szCs w:val="28"/>
          <w:lang w:eastAsia="zh-CN"/>
        </w:rPr>
        <w:t>：</w:t>
      </w:r>
    </w:p>
    <w:p w14:paraId="50EB0DA8">
      <w:pPr>
        <w:keepNext w:val="0"/>
        <w:keepLines w:val="0"/>
        <w:pageBreakBefore w:val="0"/>
        <w:widowControl w:val="0"/>
        <w:kinsoku/>
        <w:wordWrap/>
        <w:overflowPunct/>
        <w:topLinePunct w:val="0"/>
        <w:autoSpaceDE/>
        <w:autoSpaceDN/>
        <w:bidi w:val="0"/>
        <w:spacing w:line="336" w:lineRule="auto"/>
        <w:ind w:firstLine="570" w:firstLineChars="200"/>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rPr>
        <w:t>收费标准：中标单位在领取本采购项目中标通知书时，参照《国家计委关于印发招标代理服务收费管理暂行办法的通知（计价格[2015]299号）中规定收费基准支付代理费及《招标代理服务收费有关问题》（发改办价格[2003]857号文）中规定收取代理费。</w:t>
      </w:r>
    </w:p>
    <w:tbl>
      <w:tblPr>
        <w:tblStyle w:val="17"/>
        <w:tblpPr w:leftFromText="180" w:rightFromText="180" w:vertAnchor="text" w:horzAnchor="page" w:tblpXSpec="center" w:tblpY="19"/>
        <w:tblOverlap w:val="never"/>
        <w:tblW w:w="8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6"/>
        <w:gridCol w:w="1530"/>
        <w:gridCol w:w="1335"/>
        <w:gridCol w:w="2996"/>
      </w:tblGrid>
      <w:tr w14:paraId="59609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616" w:type="dxa"/>
            <w:vAlign w:val="center"/>
          </w:tcPr>
          <w:p w14:paraId="4788A2C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费率中标金额</w:t>
            </w:r>
          </w:p>
        </w:tc>
        <w:tc>
          <w:tcPr>
            <w:tcW w:w="1530" w:type="dxa"/>
            <w:vAlign w:val="center"/>
          </w:tcPr>
          <w:p w14:paraId="6F515010">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货物招标</w:t>
            </w:r>
          </w:p>
        </w:tc>
        <w:tc>
          <w:tcPr>
            <w:tcW w:w="1335" w:type="dxa"/>
            <w:vAlign w:val="center"/>
          </w:tcPr>
          <w:p w14:paraId="21398593">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服务招标</w:t>
            </w:r>
          </w:p>
        </w:tc>
        <w:tc>
          <w:tcPr>
            <w:tcW w:w="2996" w:type="dxa"/>
            <w:vAlign w:val="center"/>
          </w:tcPr>
          <w:p w14:paraId="0311AD89">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工程招标</w:t>
            </w:r>
          </w:p>
        </w:tc>
      </w:tr>
      <w:tr w14:paraId="14ABA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616" w:type="dxa"/>
            <w:vAlign w:val="center"/>
          </w:tcPr>
          <w:p w14:paraId="0A8C5BC3">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100万元以下</w:t>
            </w:r>
          </w:p>
        </w:tc>
        <w:tc>
          <w:tcPr>
            <w:tcW w:w="1530" w:type="dxa"/>
            <w:vAlign w:val="center"/>
          </w:tcPr>
          <w:p w14:paraId="4AA68A5D">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1.5%</w:t>
            </w:r>
          </w:p>
        </w:tc>
        <w:tc>
          <w:tcPr>
            <w:tcW w:w="1335" w:type="dxa"/>
            <w:vAlign w:val="center"/>
          </w:tcPr>
          <w:p w14:paraId="374E652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1.5%</w:t>
            </w:r>
          </w:p>
        </w:tc>
        <w:tc>
          <w:tcPr>
            <w:tcW w:w="2996" w:type="dxa"/>
            <w:vAlign w:val="center"/>
          </w:tcPr>
          <w:p w14:paraId="3FA5B493">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w:t>
            </w:r>
          </w:p>
        </w:tc>
      </w:tr>
      <w:tr w14:paraId="41588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2616" w:type="dxa"/>
            <w:vAlign w:val="center"/>
          </w:tcPr>
          <w:p w14:paraId="7B734B5E">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100～500万元</w:t>
            </w:r>
          </w:p>
        </w:tc>
        <w:tc>
          <w:tcPr>
            <w:tcW w:w="1530" w:type="dxa"/>
            <w:vAlign w:val="center"/>
          </w:tcPr>
          <w:p w14:paraId="1D8377D2">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1.1%</w:t>
            </w:r>
          </w:p>
        </w:tc>
        <w:tc>
          <w:tcPr>
            <w:tcW w:w="1335" w:type="dxa"/>
            <w:vAlign w:val="center"/>
          </w:tcPr>
          <w:p w14:paraId="1725E5A2">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0.8%</w:t>
            </w:r>
          </w:p>
        </w:tc>
        <w:tc>
          <w:tcPr>
            <w:tcW w:w="2996" w:type="dxa"/>
            <w:vAlign w:val="center"/>
          </w:tcPr>
          <w:p w14:paraId="51A52402">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0.7%</w:t>
            </w:r>
          </w:p>
        </w:tc>
      </w:tr>
      <w:tr w14:paraId="1CDBA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2616" w:type="dxa"/>
            <w:vAlign w:val="center"/>
          </w:tcPr>
          <w:p w14:paraId="7A72B91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500～1000万元</w:t>
            </w:r>
          </w:p>
        </w:tc>
        <w:tc>
          <w:tcPr>
            <w:tcW w:w="1530" w:type="dxa"/>
            <w:vAlign w:val="center"/>
          </w:tcPr>
          <w:p w14:paraId="66A78049">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0.8%</w:t>
            </w:r>
          </w:p>
        </w:tc>
        <w:tc>
          <w:tcPr>
            <w:tcW w:w="1335" w:type="dxa"/>
            <w:vAlign w:val="center"/>
          </w:tcPr>
          <w:p w14:paraId="61ADE4D8">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0.45%</w:t>
            </w:r>
          </w:p>
        </w:tc>
        <w:tc>
          <w:tcPr>
            <w:tcW w:w="2996" w:type="dxa"/>
            <w:vAlign w:val="center"/>
          </w:tcPr>
          <w:p w14:paraId="43C3D04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0.55%</w:t>
            </w:r>
          </w:p>
        </w:tc>
      </w:tr>
      <w:tr w14:paraId="5CC67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2616" w:type="dxa"/>
            <w:vAlign w:val="center"/>
          </w:tcPr>
          <w:p w14:paraId="6364CB4C">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1000～5000万元</w:t>
            </w:r>
          </w:p>
        </w:tc>
        <w:tc>
          <w:tcPr>
            <w:tcW w:w="1530" w:type="dxa"/>
            <w:vAlign w:val="center"/>
          </w:tcPr>
          <w:p w14:paraId="35D6C1B9">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0.5%</w:t>
            </w:r>
          </w:p>
        </w:tc>
        <w:tc>
          <w:tcPr>
            <w:tcW w:w="1335" w:type="dxa"/>
            <w:vAlign w:val="center"/>
          </w:tcPr>
          <w:p w14:paraId="39877EE1">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0.25%</w:t>
            </w:r>
          </w:p>
        </w:tc>
        <w:tc>
          <w:tcPr>
            <w:tcW w:w="2996" w:type="dxa"/>
            <w:vAlign w:val="center"/>
          </w:tcPr>
          <w:p w14:paraId="3D6CFA09">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0.35%</w:t>
            </w:r>
          </w:p>
        </w:tc>
      </w:tr>
      <w:tr w14:paraId="3FB36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2616" w:type="dxa"/>
            <w:vAlign w:val="center"/>
          </w:tcPr>
          <w:p w14:paraId="183C262E">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5000万元～1亿元</w:t>
            </w:r>
          </w:p>
        </w:tc>
        <w:tc>
          <w:tcPr>
            <w:tcW w:w="1530" w:type="dxa"/>
            <w:vAlign w:val="center"/>
          </w:tcPr>
          <w:p w14:paraId="4CF6F833">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0.25%</w:t>
            </w:r>
          </w:p>
        </w:tc>
        <w:tc>
          <w:tcPr>
            <w:tcW w:w="1335" w:type="dxa"/>
            <w:vAlign w:val="center"/>
          </w:tcPr>
          <w:p w14:paraId="20DA0C38">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0.1%</w:t>
            </w:r>
          </w:p>
        </w:tc>
        <w:tc>
          <w:tcPr>
            <w:tcW w:w="2996" w:type="dxa"/>
            <w:vAlign w:val="center"/>
          </w:tcPr>
          <w:p w14:paraId="4AC93078">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0.2%</w:t>
            </w:r>
            <w:r>
              <w:rPr>
                <w:rFonts w:hint="eastAsia" w:ascii="仿宋" w:hAnsi="仿宋" w:eastAsia="仿宋" w:cs="仿宋"/>
                <w:color w:val="auto"/>
                <w:sz w:val="28"/>
                <w:szCs w:val="28"/>
                <w:lang w:eastAsia="zh-CN"/>
              </w:rPr>
              <w:cr/>
            </w:r>
          </w:p>
        </w:tc>
      </w:tr>
      <w:tr w14:paraId="3D2FA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616" w:type="dxa"/>
            <w:vAlign w:val="center"/>
          </w:tcPr>
          <w:p w14:paraId="0AEE76EA">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1～5亿元</w:t>
            </w:r>
          </w:p>
        </w:tc>
        <w:tc>
          <w:tcPr>
            <w:tcW w:w="1530" w:type="dxa"/>
            <w:vAlign w:val="center"/>
          </w:tcPr>
          <w:p w14:paraId="7339830E">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0.05%</w:t>
            </w:r>
          </w:p>
        </w:tc>
        <w:tc>
          <w:tcPr>
            <w:tcW w:w="1335" w:type="dxa"/>
            <w:vAlign w:val="center"/>
          </w:tcPr>
          <w:p w14:paraId="57353CA3">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0.05%</w:t>
            </w:r>
          </w:p>
        </w:tc>
        <w:tc>
          <w:tcPr>
            <w:tcW w:w="2996" w:type="dxa"/>
            <w:vAlign w:val="center"/>
          </w:tcPr>
          <w:p w14:paraId="3C189DD2">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0.05</w:t>
            </w:r>
            <w:r>
              <w:rPr>
                <w:rFonts w:hint="eastAsia" w:ascii="仿宋" w:hAnsi="仿宋" w:eastAsia="仿宋" w:cs="仿宋"/>
                <w:color w:val="auto"/>
                <w:sz w:val="28"/>
                <w:szCs w:val="28"/>
                <w:lang w:eastAsia="zh-CN"/>
              </w:rPr>
              <w:cr/>
            </w:r>
            <w:r>
              <w:rPr>
                <w:rFonts w:hint="eastAsia" w:ascii="仿宋" w:hAnsi="仿宋" w:eastAsia="仿宋" w:cs="仿宋"/>
                <w:color w:val="auto"/>
                <w:sz w:val="28"/>
                <w:szCs w:val="28"/>
                <w:lang w:eastAsia="zh-CN"/>
              </w:rPr>
              <w:t>%</w:t>
            </w:r>
          </w:p>
        </w:tc>
      </w:tr>
      <w:tr w14:paraId="009F5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2616" w:type="dxa"/>
            <w:vAlign w:val="center"/>
          </w:tcPr>
          <w:p w14:paraId="42920837">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5～10亿元</w:t>
            </w:r>
          </w:p>
        </w:tc>
        <w:tc>
          <w:tcPr>
            <w:tcW w:w="1530" w:type="dxa"/>
            <w:vAlign w:val="center"/>
          </w:tcPr>
          <w:p w14:paraId="78051A12">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0.035%</w:t>
            </w:r>
          </w:p>
        </w:tc>
        <w:tc>
          <w:tcPr>
            <w:tcW w:w="1335" w:type="dxa"/>
            <w:vAlign w:val="center"/>
          </w:tcPr>
          <w:p w14:paraId="40DA312A">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0.035%</w:t>
            </w:r>
          </w:p>
        </w:tc>
        <w:tc>
          <w:tcPr>
            <w:tcW w:w="2996" w:type="dxa"/>
            <w:vAlign w:val="center"/>
          </w:tcPr>
          <w:p w14:paraId="1D4A0256">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0.035%</w:t>
            </w:r>
          </w:p>
        </w:tc>
      </w:tr>
      <w:tr w14:paraId="07887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2616" w:type="dxa"/>
            <w:vAlign w:val="center"/>
          </w:tcPr>
          <w:p w14:paraId="29FAA1C6">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10～50亿元</w:t>
            </w:r>
          </w:p>
        </w:tc>
        <w:tc>
          <w:tcPr>
            <w:tcW w:w="1530" w:type="dxa"/>
            <w:vAlign w:val="center"/>
          </w:tcPr>
          <w:p w14:paraId="2B7CB530">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0.008%</w:t>
            </w:r>
          </w:p>
        </w:tc>
        <w:tc>
          <w:tcPr>
            <w:tcW w:w="1335" w:type="dxa"/>
            <w:vAlign w:val="center"/>
          </w:tcPr>
          <w:p w14:paraId="40748D2A">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0.008%</w:t>
            </w:r>
          </w:p>
        </w:tc>
        <w:tc>
          <w:tcPr>
            <w:tcW w:w="2996" w:type="dxa"/>
            <w:vAlign w:val="center"/>
          </w:tcPr>
          <w:p w14:paraId="3EF4D981">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0.008%</w:t>
            </w:r>
          </w:p>
        </w:tc>
      </w:tr>
      <w:tr w14:paraId="34ABB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2616" w:type="dxa"/>
            <w:vAlign w:val="center"/>
          </w:tcPr>
          <w:p w14:paraId="20211079">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50～100亿元</w:t>
            </w:r>
          </w:p>
        </w:tc>
        <w:tc>
          <w:tcPr>
            <w:tcW w:w="1530" w:type="dxa"/>
            <w:vAlign w:val="center"/>
          </w:tcPr>
          <w:p w14:paraId="68B0DEBD">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0.006%</w:t>
            </w:r>
          </w:p>
        </w:tc>
        <w:tc>
          <w:tcPr>
            <w:tcW w:w="1335" w:type="dxa"/>
            <w:vAlign w:val="center"/>
          </w:tcPr>
          <w:p w14:paraId="489E0A4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0.006%</w:t>
            </w:r>
          </w:p>
        </w:tc>
        <w:tc>
          <w:tcPr>
            <w:tcW w:w="2996" w:type="dxa"/>
            <w:vAlign w:val="center"/>
          </w:tcPr>
          <w:p w14:paraId="639BCA69">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0.006%</w:t>
            </w:r>
          </w:p>
        </w:tc>
      </w:tr>
      <w:tr w14:paraId="749B7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16" w:type="dxa"/>
            <w:vAlign w:val="center"/>
          </w:tcPr>
          <w:p w14:paraId="0CC48DD5">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100亿以上</w:t>
            </w:r>
          </w:p>
        </w:tc>
        <w:tc>
          <w:tcPr>
            <w:tcW w:w="1530" w:type="dxa"/>
            <w:vAlign w:val="center"/>
          </w:tcPr>
          <w:p w14:paraId="356EB558">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0.004%</w:t>
            </w:r>
          </w:p>
        </w:tc>
        <w:tc>
          <w:tcPr>
            <w:tcW w:w="1335" w:type="dxa"/>
            <w:vAlign w:val="center"/>
          </w:tcPr>
          <w:p w14:paraId="4DBD851A">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0.004%</w:t>
            </w:r>
          </w:p>
        </w:tc>
        <w:tc>
          <w:tcPr>
            <w:tcW w:w="2996" w:type="dxa"/>
            <w:vAlign w:val="center"/>
          </w:tcPr>
          <w:p w14:paraId="46CB483C">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0.004%</w:t>
            </w:r>
          </w:p>
        </w:tc>
      </w:tr>
    </w:tbl>
    <w:p w14:paraId="27ABB651">
      <w:pPr>
        <w:keepNext w:val="0"/>
        <w:keepLines w:val="0"/>
        <w:pageBreakBefore w:val="0"/>
        <w:widowControl w:val="0"/>
        <w:kinsoku/>
        <w:wordWrap/>
        <w:overflowPunct/>
        <w:topLinePunct w:val="0"/>
        <w:autoSpaceDE/>
        <w:autoSpaceDN/>
        <w:bidi w:val="0"/>
        <w:spacing w:line="336" w:lineRule="auto"/>
        <w:ind w:firstLine="570" w:firstLineChars="200"/>
        <w:textAlignment w:val="auto"/>
        <w:rPr>
          <w:rFonts w:hint="eastAsia" w:ascii="仿宋" w:hAnsi="仿宋" w:eastAsia="仿宋" w:cs="仿宋"/>
          <w:color w:val="auto"/>
          <w:sz w:val="28"/>
          <w:szCs w:val="28"/>
        </w:rPr>
      </w:pPr>
    </w:p>
    <w:p w14:paraId="123C1470">
      <w:pPr>
        <w:keepNext w:val="0"/>
        <w:keepLines w:val="0"/>
        <w:pageBreakBefore w:val="0"/>
        <w:widowControl w:val="0"/>
        <w:kinsoku/>
        <w:wordWrap/>
        <w:overflowPunct/>
        <w:topLinePunct w:val="0"/>
        <w:autoSpaceDE/>
        <w:autoSpaceDN/>
        <w:bidi w:val="0"/>
        <w:spacing w:line="336" w:lineRule="auto"/>
        <w:textAlignment w:val="auto"/>
        <w:rPr>
          <w:rFonts w:hint="eastAsia" w:ascii="仿宋" w:hAnsi="仿宋" w:eastAsia="仿宋" w:cs="仿宋"/>
          <w:color w:val="auto"/>
          <w:sz w:val="28"/>
          <w:szCs w:val="28"/>
        </w:rPr>
      </w:pPr>
    </w:p>
    <w:p w14:paraId="285D3E0A">
      <w:pPr>
        <w:pStyle w:val="4"/>
        <w:keepNext w:val="0"/>
        <w:keepLines w:val="0"/>
        <w:pageBreakBefore w:val="0"/>
        <w:widowControl w:val="0"/>
        <w:kinsoku/>
        <w:wordWrap/>
        <w:overflowPunct/>
        <w:topLinePunct w:val="0"/>
        <w:autoSpaceDE/>
        <w:autoSpaceDN/>
        <w:bidi w:val="0"/>
        <w:spacing w:line="336" w:lineRule="auto"/>
        <w:textAlignment w:val="auto"/>
        <w:rPr>
          <w:rFonts w:hint="eastAsia" w:ascii="仿宋" w:hAnsi="仿宋" w:eastAsia="仿宋" w:cs="仿宋"/>
          <w:color w:val="auto"/>
          <w:sz w:val="28"/>
          <w:szCs w:val="28"/>
          <w:lang w:eastAsia="zh-CN"/>
        </w:rPr>
      </w:pPr>
    </w:p>
    <w:p w14:paraId="7C0218D2">
      <w:pPr>
        <w:pStyle w:val="4"/>
        <w:keepNext w:val="0"/>
        <w:keepLines w:val="0"/>
        <w:pageBreakBefore w:val="0"/>
        <w:widowControl w:val="0"/>
        <w:kinsoku/>
        <w:wordWrap/>
        <w:overflowPunct/>
        <w:topLinePunct w:val="0"/>
        <w:autoSpaceDE/>
        <w:autoSpaceDN/>
        <w:bidi w:val="0"/>
        <w:spacing w:line="336" w:lineRule="auto"/>
        <w:textAlignment w:val="auto"/>
        <w:rPr>
          <w:rFonts w:hint="eastAsia" w:ascii="仿宋" w:hAnsi="仿宋" w:eastAsia="仿宋" w:cs="仿宋"/>
          <w:color w:val="auto"/>
          <w:sz w:val="28"/>
          <w:szCs w:val="28"/>
          <w:lang w:eastAsia="zh-CN"/>
        </w:rPr>
      </w:pPr>
    </w:p>
    <w:p w14:paraId="1AA1CEFB">
      <w:pPr>
        <w:pStyle w:val="4"/>
        <w:keepNext w:val="0"/>
        <w:keepLines w:val="0"/>
        <w:pageBreakBefore w:val="0"/>
        <w:widowControl w:val="0"/>
        <w:kinsoku/>
        <w:wordWrap/>
        <w:overflowPunct/>
        <w:topLinePunct w:val="0"/>
        <w:autoSpaceDE/>
        <w:autoSpaceDN/>
        <w:bidi w:val="0"/>
        <w:spacing w:line="336" w:lineRule="auto"/>
        <w:textAlignment w:val="auto"/>
        <w:rPr>
          <w:rFonts w:hint="eastAsia" w:ascii="仿宋" w:hAnsi="仿宋" w:eastAsia="仿宋" w:cs="仿宋"/>
          <w:color w:val="auto"/>
          <w:sz w:val="28"/>
          <w:szCs w:val="28"/>
          <w:lang w:eastAsia="zh-CN"/>
        </w:rPr>
      </w:pPr>
    </w:p>
    <w:p w14:paraId="4A09C2BD">
      <w:pPr>
        <w:pStyle w:val="4"/>
        <w:keepNext w:val="0"/>
        <w:keepLines w:val="0"/>
        <w:pageBreakBefore w:val="0"/>
        <w:widowControl w:val="0"/>
        <w:kinsoku/>
        <w:wordWrap/>
        <w:overflowPunct/>
        <w:topLinePunct w:val="0"/>
        <w:autoSpaceDE/>
        <w:autoSpaceDN/>
        <w:bidi w:val="0"/>
        <w:spacing w:line="336" w:lineRule="auto"/>
        <w:textAlignment w:val="auto"/>
        <w:rPr>
          <w:rFonts w:hint="eastAsia" w:ascii="仿宋" w:hAnsi="仿宋" w:eastAsia="仿宋" w:cs="仿宋"/>
          <w:color w:val="auto"/>
          <w:sz w:val="28"/>
          <w:szCs w:val="28"/>
          <w:lang w:eastAsia="zh-CN"/>
        </w:rPr>
      </w:pPr>
    </w:p>
    <w:p w14:paraId="55D4CC11">
      <w:pPr>
        <w:pStyle w:val="4"/>
        <w:keepNext w:val="0"/>
        <w:keepLines w:val="0"/>
        <w:pageBreakBefore w:val="0"/>
        <w:widowControl w:val="0"/>
        <w:kinsoku/>
        <w:wordWrap/>
        <w:overflowPunct/>
        <w:topLinePunct w:val="0"/>
        <w:autoSpaceDE/>
        <w:autoSpaceDN/>
        <w:bidi w:val="0"/>
        <w:spacing w:line="336" w:lineRule="auto"/>
        <w:textAlignment w:val="auto"/>
        <w:rPr>
          <w:rFonts w:hint="eastAsia" w:ascii="仿宋" w:hAnsi="仿宋" w:eastAsia="仿宋" w:cs="仿宋"/>
          <w:color w:val="auto"/>
          <w:sz w:val="28"/>
          <w:szCs w:val="28"/>
          <w:lang w:eastAsia="zh-CN"/>
        </w:rPr>
      </w:pPr>
    </w:p>
    <w:p w14:paraId="72EFBCA8">
      <w:pPr>
        <w:pStyle w:val="4"/>
        <w:keepNext w:val="0"/>
        <w:keepLines w:val="0"/>
        <w:pageBreakBefore w:val="0"/>
        <w:widowControl w:val="0"/>
        <w:kinsoku/>
        <w:wordWrap/>
        <w:overflowPunct/>
        <w:topLinePunct w:val="0"/>
        <w:autoSpaceDE/>
        <w:autoSpaceDN/>
        <w:bidi w:val="0"/>
        <w:spacing w:line="336" w:lineRule="auto"/>
        <w:textAlignment w:val="auto"/>
        <w:rPr>
          <w:rFonts w:hint="eastAsia" w:ascii="仿宋" w:hAnsi="仿宋" w:eastAsia="仿宋" w:cs="仿宋"/>
          <w:color w:val="auto"/>
          <w:sz w:val="28"/>
          <w:szCs w:val="28"/>
          <w:lang w:eastAsia="zh-CN"/>
        </w:rPr>
      </w:pPr>
    </w:p>
    <w:p w14:paraId="4684196D">
      <w:pPr>
        <w:pStyle w:val="4"/>
        <w:keepNext w:val="0"/>
        <w:keepLines w:val="0"/>
        <w:pageBreakBefore w:val="0"/>
        <w:widowControl w:val="0"/>
        <w:kinsoku/>
        <w:wordWrap/>
        <w:overflowPunct/>
        <w:topLinePunct w:val="0"/>
        <w:autoSpaceDE/>
        <w:autoSpaceDN/>
        <w:bidi w:val="0"/>
        <w:spacing w:line="336" w:lineRule="auto"/>
        <w:textAlignment w:val="auto"/>
        <w:rPr>
          <w:rFonts w:hint="eastAsia" w:ascii="仿宋" w:hAnsi="仿宋" w:eastAsia="仿宋" w:cs="仿宋"/>
          <w:color w:val="auto"/>
          <w:sz w:val="28"/>
          <w:szCs w:val="28"/>
          <w:lang w:eastAsia="zh-CN"/>
        </w:rPr>
      </w:pPr>
    </w:p>
    <w:p w14:paraId="2247B11F">
      <w:pPr>
        <w:pStyle w:val="4"/>
        <w:keepNext w:val="0"/>
        <w:keepLines w:val="0"/>
        <w:pageBreakBefore w:val="0"/>
        <w:widowControl w:val="0"/>
        <w:kinsoku/>
        <w:wordWrap/>
        <w:overflowPunct/>
        <w:topLinePunct w:val="0"/>
        <w:autoSpaceDE/>
        <w:autoSpaceDN/>
        <w:bidi w:val="0"/>
        <w:spacing w:line="336" w:lineRule="auto"/>
        <w:textAlignment w:val="auto"/>
        <w:rPr>
          <w:rFonts w:hint="eastAsia" w:ascii="仿宋" w:hAnsi="仿宋" w:eastAsia="仿宋" w:cs="仿宋"/>
          <w:color w:val="auto"/>
          <w:sz w:val="28"/>
          <w:szCs w:val="28"/>
          <w:lang w:eastAsia="zh-CN"/>
        </w:rPr>
      </w:pPr>
    </w:p>
    <w:p w14:paraId="4A5C7B25">
      <w:pPr>
        <w:pStyle w:val="4"/>
        <w:keepNext w:val="0"/>
        <w:keepLines w:val="0"/>
        <w:pageBreakBefore w:val="0"/>
        <w:widowControl w:val="0"/>
        <w:kinsoku/>
        <w:wordWrap/>
        <w:overflowPunct/>
        <w:topLinePunct w:val="0"/>
        <w:autoSpaceDE/>
        <w:autoSpaceDN/>
        <w:bidi w:val="0"/>
        <w:spacing w:line="336" w:lineRule="auto"/>
        <w:textAlignment w:val="auto"/>
        <w:rPr>
          <w:rFonts w:hint="eastAsia" w:ascii="仿宋" w:hAnsi="仿宋" w:eastAsia="仿宋" w:cs="仿宋"/>
          <w:color w:val="auto"/>
          <w:sz w:val="28"/>
          <w:szCs w:val="28"/>
          <w:lang w:eastAsia="zh-CN"/>
        </w:rPr>
      </w:pPr>
    </w:p>
    <w:p w14:paraId="56886C01">
      <w:pPr>
        <w:pStyle w:val="4"/>
        <w:keepNext w:val="0"/>
        <w:keepLines w:val="0"/>
        <w:pageBreakBefore w:val="0"/>
        <w:widowControl w:val="0"/>
        <w:kinsoku/>
        <w:wordWrap/>
        <w:overflowPunct/>
        <w:topLinePunct w:val="0"/>
        <w:autoSpaceDE/>
        <w:autoSpaceDN/>
        <w:bidi w:val="0"/>
        <w:spacing w:line="336" w:lineRule="auto"/>
        <w:jc w:val="both"/>
        <w:textAlignment w:val="auto"/>
        <w:rPr>
          <w:rFonts w:hint="eastAsia" w:ascii="仿宋" w:hAnsi="仿宋" w:eastAsia="仿宋" w:cs="仿宋"/>
          <w:color w:val="auto"/>
          <w:sz w:val="28"/>
          <w:szCs w:val="28"/>
          <w:lang w:eastAsia="zh-CN"/>
        </w:rPr>
      </w:pPr>
    </w:p>
    <w:p w14:paraId="73EF91FD">
      <w:pPr>
        <w:pStyle w:val="4"/>
        <w:keepNext w:val="0"/>
        <w:keepLines w:val="0"/>
        <w:pageBreakBefore w:val="0"/>
        <w:widowControl w:val="0"/>
        <w:kinsoku/>
        <w:wordWrap/>
        <w:overflowPunct/>
        <w:topLinePunct w:val="0"/>
        <w:autoSpaceDE/>
        <w:autoSpaceDN/>
        <w:bidi w:val="0"/>
        <w:spacing w:line="336" w:lineRule="auto"/>
        <w:jc w:val="both"/>
        <w:textAlignment w:val="auto"/>
        <w:rPr>
          <w:rFonts w:hint="eastAsia" w:ascii="仿宋" w:hAnsi="仿宋" w:eastAsia="仿宋" w:cs="仿宋"/>
          <w:color w:val="auto"/>
          <w:sz w:val="28"/>
          <w:szCs w:val="28"/>
          <w:lang w:eastAsia="zh-CN"/>
        </w:rPr>
      </w:pPr>
    </w:p>
    <w:p w14:paraId="748669B7">
      <w:pPr>
        <w:pStyle w:val="4"/>
        <w:keepNext w:val="0"/>
        <w:keepLines w:val="0"/>
        <w:pageBreakBefore w:val="0"/>
        <w:widowControl w:val="0"/>
        <w:kinsoku/>
        <w:wordWrap/>
        <w:overflowPunct/>
        <w:topLinePunct w:val="0"/>
        <w:autoSpaceDE/>
        <w:autoSpaceDN/>
        <w:bidi w:val="0"/>
        <w:spacing w:line="336" w:lineRule="auto"/>
        <w:jc w:val="both"/>
        <w:textAlignment w:val="auto"/>
        <w:rPr>
          <w:rFonts w:hint="eastAsia" w:ascii="仿宋" w:hAnsi="仿宋" w:eastAsia="仿宋" w:cs="仿宋"/>
          <w:color w:val="auto"/>
          <w:sz w:val="28"/>
          <w:szCs w:val="28"/>
          <w:lang w:eastAsia="zh-CN"/>
        </w:rPr>
      </w:pPr>
    </w:p>
    <w:p w14:paraId="5A5BB4DD">
      <w:pPr>
        <w:pStyle w:val="4"/>
        <w:keepNext w:val="0"/>
        <w:keepLines w:val="0"/>
        <w:pageBreakBefore w:val="0"/>
        <w:widowControl w:val="0"/>
        <w:kinsoku/>
        <w:wordWrap/>
        <w:overflowPunct/>
        <w:topLinePunct w:val="0"/>
        <w:autoSpaceDE/>
        <w:autoSpaceDN/>
        <w:bidi w:val="0"/>
        <w:spacing w:line="336" w:lineRule="auto"/>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九</w:t>
      </w:r>
      <w:r>
        <w:rPr>
          <w:rFonts w:hint="eastAsia" w:ascii="仿宋" w:hAnsi="仿宋" w:eastAsia="仿宋" w:cs="仿宋"/>
          <w:color w:val="auto"/>
          <w:sz w:val="28"/>
          <w:szCs w:val="28"/>
        </w:rPr>
        <w:t>、法律责任</w:t>
      </w:r>
    </w:p>
    <w:p w14:paraId="0E01403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供应商有下列情形之一的，处以采购项目采购金额千分之五以上千分之十以下的罚款，列入不良行为记录名单，在一至三年内禁止参加</w:t>
      </w:r>
      <w:r>
        <w:rPr>
          <w:rFonts w:hint="eastAsia" w:ascii="仿宋" w:hAnsi="仿宋" w:eastAsia="仿宋" w:cs="仿宋"/>
          <w:color w:val="auto"/>
          <w:sz w:val="28"/>
          <w:szCs w:val="28"/>
          <w:lang w:eastAsia="zh-CN"/>
        </w:rPr>
        <w:t>政府</w:t>
      </w:r>
      <w:r>
        <w:rPr>
          <w:rFonts w:hint="eastAsia" w:ascii="仿宋" w:hAnsi="仿宋" w:eastAsia="仿宋" w:cs="仿宋"/>
          <w:color w:val="auto"/>
          <w:sz w:val="28"/>
          <w:szCs w:val="28"/>
        </w:rPr>
        <w:t>采购活动，并予以公告，有违法所得的，并处没收违法所得，情节严重的，由行政管理机关吊销营业执照；构成犯罪的，依法追究刑事责任：</w:t>
      </w:r>
    </w:p>
    <w:p w14:paraId="64EED21D">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1、提供虚假材料谋取中标的；</w:t>
      </w:r>
    </w:p>
    <w:p w14:paraId="4F1064D1">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2、采取不正当手段诋毁、排挤其他供应商的；</w:t>
      </w:r>
    </w:p>
    <w:p w14:paraId="47AF2916">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3、与采购人、其他供应商或采购代理机构恶意串通的；</w:t>
      </w:r>
    </w:p>
    <w:p w14:paraId="6C3CEA93">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4、向采购人、采购代理机构行贿或者提供其他不正当利益的；</w:t>
      </w:r>
    </w:p>
    <w:p w14:paraId="725924A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5、在招标过程中与招标采购单位进行协商谈判、不按照</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和</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的响应文件订立合同，或者与采购人另行订立背离合同实质性内容的协议的；</w:t>
      </w:r>
    </w:p>
    <w:p w14:paraId="5382E30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6、拒绝有关部门监督检查或者提供虚假情况的。供应商有前款情形之一的，中标无效。</w:t>
      </w:r>
    </w:p>
    <w:p w14:paraId="16B02B88">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有下列情形之一的，情节严重的，由财政部门将其列入不良行为记录名单，在一至三年内禁止参加</w:t>
      </w:r>
      <w:r>
        <w:rPr>
          <w:rFonts w:hint="eastAsia" w:ascii="仿宋" w:hAnsi="仿宋" w:eastAsia="仿宋" w:cs="仿宋"/>
          <w:color w:val="auto"/>
          <w:sz w:val="28"/>
          <w:szCs w:val="28"/>
          <w:lang w:eastAsia="zh-CN"/>
        </w:rPr>
        <w:t>政府</w:t>
      </w:r>
      <w:r>
        <w:rPr>
          <w:rFonts w:hint="eastAsia" w:ascii="仿宋" w:hAnsi="仿宋" w:eastAsia="仿宋" w:cs="仿宋"/>
          <w:color w:val="auto"/>
          <w:sz w:val="28"/>
          <w:szCs w:val="28"/>
        </w:rPr>
        <w:t>采购活动，并予以通报：</w:t>
      </w:r>
    </w:p>
    <w:p w14:paraId="201E559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1、中标后无正当理由不与采购人签订合同，或者与采购人另行订立背离合同实质性内容的协议的；</w:t>
      </w:r>
    </w:p>
    <w:p w14:paraId="70B9EC4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2、将中标项目转让给他人，或者在响应文件中未说明，且未经采购人同意，将中标项目分包给他人的；</w:t>
      </w:r>
    </w:p>
    <w:p w14:paraId="02FF00FB">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3、拒绝履行合同义务的。</w:t>
      </w:r>
    </w:p>
    <w:p w14:paraId="452146E8">
      <w:pPr>
        <w:snapToGrid w:val="0"/>
        <w:spacing w:line="360" w:lineRule="auto"/>
        <w:ind w:firstLine="57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有前款情形之一的，中标无效。</w:t>
      </w:r>
    </w:p>
    <w:p w14:paraId="0D7DD8A5">
      <w:pPr>
        <w:snapToGrid w:val="0"/>
        <w:spacing w:line="360" w:lineRule="auto"/>
        <w:ind w:firstLine="57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按照以上条款规定，经同级或其上级财政部门认定中标无效的，可按中标候选顺序重新确定，或重新进行采购。</w:t>
      </w:r>
      <w:bookmarkStart w:id="11" w:name="_Toc497129227"/>
    </w:p>
    <w:p w14:paraId="16B65BA7">
      <w:pPr>
        <w:snapToGrid w:val="0"/>
        <w:spacing w:line="360" w:lineRule="auto"/>
        <w:ind w:firstLine="570" w:firstLineChars="200"/>
        <w:jc w:val="center"/>
        <w:outlineLvl w:val="0"/>
        <w:rPr>
          <w:rFonts w:hint="eastAsia" w:ascii="仿宋" w:hAnsi="仿宋" w:eastAsia="仿宋" w:cs="仿宋"/>
          <w:b/>
          <w:color w:val="auto"/>
          <w:sz w:val="28"/>
          <w:szCs w:val="28"/>
          <w:lang w:val="en-US" w:eastAsia="zh-CN" w:bidi="en-US"/>
        </w:rPr>
      </w:pPr>
    </w:p>
    <w:p w14:paraId="25B7DC7F">
      <w:pPr>
        <w:snapToGrid w:val="0"/>
        <w:spacing w:line="360" w:lineRule="auto"/>
        <w:ind w:firstLine="570" w:firstLineChars="200"/>
        <w:jc w:val="center"/>
        <w:outlineLvl w:val="0"/>
        <w:rPr>
          <w:rFonts w:hint="eastAsia" w:ascii="仿宋" w:hAnsi="仿宋" w:eastAsia="仿宋" w:cs="仿宋"/>
          <w:b/>
          <w:color w:val="auto"/>
          <w:sz w:val="28"/>
          <w:szCs w:val="28"/>
          <w:lang w:val="en-US" w:eastAsia="zh-CN" w:bidi="en-US"/>
        </w:rPr>
      </w:pPr>
    </w:p>
    <w:p w14:paraId="5DE339CD">
      <w:pPr>
        <w:snapToGrid w:val="0"/>
        <w:spacing w:line="360" w:lineRule="auto"/>
        <w:ind w:firstLine="570" w:firstLineChars="200"/>
        <w:jc w:val="center"/>
        <w:outlineLvl w:val="0"/>
        <w:rPr>
          <w:rFonts w:hint="eastAsia" w:ascii="仿宋" w:hAnsi="仿宋" w:eastAsia="仿宋" w:cs="仿宋"/>
          <w:b/>
          <w:color w:val="auto"/>
          <w:sz w:val="28"/>
          <w:szCs w:val="28"/>
          <w:lang w:val="en-US" w:eastAsia="zh-CN" w:bidi="en-US"/>
        </w:rPr>
      </w:pPr>
    </w:p>
    <w:p w14:paraId="13370E2E">
      <w:pPr>
        <w:snapToGrid w:val="0"/>
        <w:spacing w:line="360" w:lineRule="auto"/>
        <w:ind w:firstLine="570" w:firstLineChars="200"/>
        <w:jc w:val="center"/>
        <w:outlineLvl w:val="0"/>
        <w:rPr>
          <w:rFonts w:hint="eastAsia" w:ascii="仿宋" w:hAnsi="仿宋" w:eastAsia="仿宋" w:cs="仿宋"/>
          <w:b/>
          <w:color w:val="auto"/>
          <w:sz w:val="28"/>
          <w:szCs w:val="28"/>
          <w:lang w:val="en-US" w:eastAsia="zh-CN" w:bidi="en-US"/>
        </w:rPr>
      </w:pPr>
    </w:p>
    <w:p w14:paraId="2CAABD09">
      <w:pPr>
        <w:snapToGrid w:val="0"/>
        <w:spacing w:line="360" w:lineRule="auto"/>
        <w:ind w:firstLine="570" w:firstLineChars="200"/>
        <w:jc w:val="center"/>
        <w:outlineLvl w:val="0"/>
        <w:rPr>
          <w:rFonts w:hint="eastAsia" w:ascii="仿宋" w:hAnsi="仿宋" w:eastAsia="仿宋" w:cs="仿宋"/>
          <w:b/>
          <w:color w:val="auto"/>
          <w:sz w:val="28"/>
          <w:szCs w:val="28"/>
          <w:lang w:val="en-US" w:eastAsia="zh-CN" w:bidi="en-US"/>
        </w:rPr>
      </w:pPr>
    </w:p>
    <w:p w14:paraId="4B25FF76">
      <w:pPr>
        <w:snapToGrid w:val="0"/>
        <w:spacing w:line="360" w:lineRule="auto"/>
        <w:ind w:firstLine="570" w:firstLineChars="200"/>
        <w:jc w:val="center"/>
        <w:outlineLvl w:val="0"/>
        <w:rPr>
          <w:rFonts w:hint="eastAsia" w:ascii="仿宋" w:hAnsi="仿宋" w:eastAsia="仿宋" w:cs="仿宋"/>
          <w:b/>
          <w:color w:val="auto"/>
          <w:sz w:val="28"/>
          <w:szCs w:val="28"/>
          <w:lang w:val="en-US" w:eastAsia="zh-CN" w:bidi="en-US"/>
        </w:rPr>
      </w:pPr>
    </w:p>
    <w:p w14:paraId="2B3FF388">
      <w:pPr>
        <w:snapToGrid w:val="0"/>
        <w:spacing w:line="360" w:lineRule="auto"/>
        <w:ind w:firstLine="570" w:firstLineChars="200"/>
        <w:jc w:val="center"/>
        <w:outlineLvl w:val="0"/>
        <w:rPr>
          <w:rFonts w:hint="eastAsia" w:ascii="仿宋" w:hAnsi="仿宋" w:eastAsia="仿宋" w:cs="仿宋"/>
          <w:b/>
          <w:color w:val="auto"/>
          <w:sz w:val="28"/>
          <w:szCs w:val="28"/>
          <w:lang w:val="en-US" w:eastAsia="zh-CN" w:bidi="en-US"/>
        </w:rPr>
      </w:pPr>
    </w:p>
    <w:p w14:paraId="05A52B95">
      <w:pPr>
        <w:snapToGrid w:val="0"/>
        <w:spacing w:line="360" w:lineRule="auto"/>
        <w:ind w:firstLine="570" w:firstLineChars="200"/>
        <w:jc w:val="center"/>
        <w:outlineLvl w:val="0"/>
        <w:rPr>
          <w:rFonts w:hint="eastAsia" w:ascii="仿宋" w:hAnsi="仿宋" w:eastAsia="仿宋" w:cs="仿宋"/>
          <w:b/>
          <w:color w:val="auto"/>
          <w:sz w:val="28"/>
          <w:szCs w:val="28"/>
          <w:lang w:val="en-US" w:eastAsia="zh-CN" w:bidi="en-US"/>
        </w:rPr>
      </w:pPr>
    </w:p>
    <w:p w14:paraId="7B88A552">
      <w:pPr>
        <w:snapToGrid w:val="0"/>
        <w:spacing w:line="360" w:lineRule="auto"/>
        <w:ind w:firstLine="570" w:firstLineChars="200"/>
        <w:jc w:val="center"/>
        <w:outlineLvl w:val="0"/>
        <w:rPr>
          <w:rFonts w:hint="eastAsia" w:ascii="仿宋" w:hAnsi="仿宋" w:eastAsia="仿宋" w:cs="仿宋"/>
          <w:b/>
          <w:color w:val="auto"/>
          <w:sz w:val="28"/>
          <w:szCs w:val="28"/>
          <w:lang w:val="en-US" w:eastAsia="zh-CN" w:bidi="en-US"/>
        </w:rPr>
      </w:pPr>
    </w:p>
    <w:p w14:paraId="2512A9B2">
      <w:pPr>
        <w:snapToGrid w:val="0"/>
        <w:spacing w:line="360" w:lineRule="auto"/>
        <w:ind w:firstLine="570" w:firstLineChars="200"/>
        <w:jc w:val="center"/>
        <w:outlineLvl w:val="0"/>
        <w:rPr>
          <w:rFonts w:hint="eastAsia" w:ascii="仿宋" w:hAnsi="仿宋" w:eastAsia="仿宋" w:cs="仿宋"/>
          <w:b/>
          <w:color w:val="auto"/>
          <w:sz w:val="28"/>
          <w:szCs w:val="28"/>
          <w:lang w:val="en-US" w:eastAsia="zh-CN" w:bidi="en-US"/>
        </w:rPr>
      </w:pPr>
    </w:p>
    <w:p w14:paraId="4FF59B78">
      <w:pPr>
        <w:snapToGrid w:val="0"/>
        <w:spacing w:line="360" w:lineRule="auto"/>
        <w:ind w:firstLine="570" w:firstLineChars="200"/>
        <w:jc w:val="center"/>
        <w:outlineLvl w:val="0"/>
        <w:rPr>
          <w:rFonts w:hint="eastAsia" w:ascii="仿宋" w:hAnsi="仿宋" w:eastAsia="仿宋" w:cs="仿宋"/>
          <w:b/>
          <w:color w:val="auto"/>
          <w:sz w:val="28"/>
          <w:szCs w:val="28"/>
          <w:lang w:val="en-US" w:eastAsia="zh-CN" w:bidi="en-US"/>
        </w:rPr>
      </w:pPr>
    </w:p>
    <w:p w14:paraId="2757EC14">
      <w:pPr>
        <w:snapToGrid w:val="0"/>
        <w:spacing w:line="360" w:lineRule="auto"/>
        <w:ind w:firstLine="570" w:firstLineChars="200"/>
        <w:jc w:val="center"/>
        <w:outlineLvl w:val="0"/>
        <w:rPr>
          <w:rFonts w:hint="eastAsia" w:ascii="仿宋" w:hAnsi="仿宋" w:eastAsia="仿宋" w:cs="仿宋"/>
          <w:b/>
          <w:color w:val="auto"/>
          <w:sz w:val="28"/>
          <w:szCs w:val="28"/>
          <w:lang w:val="en-US" w:eastAsia="zh-CN" w:bidi="en-US"/>
        </w:rPr>
      </w:pPr>
    </w:p>
    <w:p w14:paraId="44F84BE5">
      <w:pPr>
        <w:snapToGrid w:val="0"/>
        <w:spacing w:line="360" w:lineRule="auto"/>
        <w:ind w:firstLine="570" w:firstLineChars="200"/>
        <w:jc w:val="center"/>
        <w:outlineLvl w:val="0"/>
        <w:rPr>
          <w:rFonts w:hint="eastAsia" w:ascii="仿宋" w:hAnsi="仿宋" w:eastAsia="仿宋" w:cs="仿宋"/>
          <w:b/>
          <w:color w:val="auto"/>
          <w:sz w:val="28"/>
          <w:szCs w:val="28"/>
          <w:lang w:val="en-US" w:eastAsia="zh-CN" w:bidi="en-US"/>
        </w:rPr>
      </w:pPr>
    </w:p>
    <w:p w14:paraId="32277DCE">
      <w:pPr>
        <w:snapToGrid w:val="0"/>
        <w:spacing w:line="360" w:lineRule="auto"/>
        <w:ind w:firstLine="570" w:firstLineChars="200"/>
        <w:jc w:val="center"/>
        <w:outlineLvl w:val="0"/>
        <w:rPr>
          <w:rFonts w:hint="eastAsia" w:ascii="仿宋" w:hAnsi="仿宋" w:eastAsia="仿宋" w:cs="仿宋"/>
          <w:b/>
          <w:color w:val="auto"/>
          <w:sz w:val="28"/>
          <w:szCs w:val="28"/>
          <w:lang w:val="en-US" w:eastAsia="zh-CN" w:bidi="en-US"/>
        </w:rPr>
      </w:pPr>
    </w:p>
    <w:p w14:paraId="2C6E1FF1">
      <w:pPr>
        <w:snapToGrid w:val="0"/>
        <w:spacing w:line="360" w:lineRule="auto"/>
        <w:ind w:firstLine="570" w:firstLineChars="200"/>
        <w:jc w:val="center"/>
        <w:outlineLvl w:val="0"/>
        <w:rPr>
          <w:rFonts w:hint="eastAsia" w:ascii="仿宋" w:hAnsi="仿宋" w:eastAsia="仿宋" w:cs="仿宋"/>
          <w:b/>
          <w:color w:val="auto"/>
          <w:sz w:val="28"/>
          <w:szCs w:val="28"/>
          <w:lang w:val="en-US" w:eastAsia="zh-CN" w:bidi="en-US"/>
        </w:rPr>
      </w:pPr>
    </w:p>
    <w:p w14:paraId="4C389B79">
      <w:pPr>
        <w:snapToGrid w:val="0"/>
        <w:spacing w:line="360" w:lineRule="auto"/>
        <w:ind w:firstLine="570" w:firstLineChars="200"/>
        <w:jc w:val="center"/>
        <w:outlineLvl w:val="0"/>
        <w:rPr>
          <w:rFonts w:hint="eastAsia" w:ascii="仿宋" w:hAnsi="仿宋" w:eastAsia="仿宋" w:cs="仿宋"/>
          <w:b/>
          <w:color w:val="auto"/>
          <w:sz w:val="28"/>
          <w:szCs w:val="28"/>
          <w:lang w:val="en-US" w:eastAsia="zh-CN" w:bidi="en-US"/>
        </w:rPr>
      </w:pPr>
    </w:p>
    <w:p w14:paraId="66EDD166">
      <w:pPr>
        <w:snapToGrid w:val="0"/>
        <w:spacing w:line="360" w:lineRule="auto"/>
        <w:ind w:firstLine="570" w:firstLineChars="200"/>
        <w:jc w:val="center"/>
        <w:outlineLvl w:val="0"/>
        <w:rPr>
          <w:rFonts w:hint="eastAsia" w:ascii="仿宋" w:hAnsi="仿宋" w:eastAsia="仿宋" w:cs="仿宋"/>
          <w:b/>
          <w:color w:val="auto"/>
          <w:sz w:val="28"/>
          <w:szCs w:val="28"/>
          <w:lang w:val="en-US" w:eastAsia="en-US" w:bidi="en-US"/>
        </w:rPr>
      </w:pPr>
      <w:r>
        <w:rPr>
          <w:rFonts w:hint="eastAsia" w:ascii="仿宋" w:hAnsi="仿宋" w:eastAsia="仿宋" w:cs="仿宋"/>
          <w:b/>
          <w:color w:val="auto"/>
          <w:sz w:val="28"/>
          <w:szCs w:val="28"/>
          <w:lang w:val="en-US" w:eastAsia="zh-CN" w:bidi="en-US"/>
        </w:rPr>
        <w:t>十、</w:t>
      </w:r>
      <w:r>
        <w:rPr>
          <w:rFonts w:hint="eastAsia" w:ascii="仿宋" w:hAnsi="仿宋" w:eastAsia="仿宋" w:cs="仿宋"/>
          <w:b/>
          <w:color w:val="auto"/>
          <w:sz w:val="28"/>
          <w:szCs w:val="28"/>
          <w:lang w:val="en-US" w:eastAsia="en-US" w:bidi="en-US"/>
        </w:rPr>
        <w:t>质疑与投诉</w:t>
      </w:r>
    </w:p>
    <w:p w14:paraId="44C3707C">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1、质疑和投诉</w:t>
      </w:r>
    </w:p>
    <w:p w14:paraId="0C9768CC">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1.1.供应商认为竞争性谈判文件、采购过程和中标（成交）结果使自己的权益受到损害的，可以在知道或者应知其权益受到损害之日起七个工作日内，以书面形式向采购人提出质疑。供应商应当在法定质疑期内一次性提出针对同一采购程序环节的质疑。供应商应知其权益受到损害之日，是指：</w:t>
      </w:r>
    </w:p>
    <w:p w14:paraId="51AC9287">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（一）对可以质疑的竞争性谈判文件提出质疑的，为收到竞争性谈判文件之日或者竞争性谈判文件公告期限届满之日；</w:t>
      </w:r>
    </w:p>
    <w:p w14:paraId="118B61EF">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（二）对采购过程提出质疑的，为各采购程序环节结束之日；</w:t>
      </w:r>
    </w:p>
    <w:p w14:paraId="0FF736A6">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（三）对中标或者成交结果提出质疑的，为中标或者成交结果公告期限届满之日。</w:t>
      </w:r>
    </w:p>
    <w:p w14:paraId="41DC6E2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1.2供应商提出质疑应当提交质疑函和必要的证明材料。质疑函应当包括下列内容：供应商的姓名或者名称、地址、邮编、联系人及联系电话；质疑项目的名称、编号；具体、明确的质疑事项和与质疑事项相关的请求；事实依据；必要的法律依据；提出质疑的日期。（具体格式详见附件）</w:t>
      </w:r>
    </w:p>
    <w:p w14:paraId="2BBA65A4">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供应商为自然人的，应当由本人签字；供应商为法人或者其他组织的，应当由法定代表人、主要负责人，或者其授权代表签字或者盖章，并加盖公章。</w:t>
      </w:r>
    </w:p>
    <w:p w14:paraId="5EF83D9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1.3供应商质疑、投诉应当有明确的请求和必要的证明材料。供应商投诉的事项不得超出已质疑事项的范围。采购人及采购代理机构按《政府采购质疑和投诉办法》进行处理供应商质疑事项。</w:t>
      </w:r>
    </w:p>
    <w:p w14:paraId="7AA852A0">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1.4质疑供应商对采购人、采购代理机构的质疑答复不满意，或者采购人、采购代理机构未在规定期限内作出答复的，供应商可以在答复期满后15个工作日内向同级财政部门提起投诉。</w:t>
      </w:r>
    </w:p>
    <w:p w14:paraId="7834100C">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1.5供应商有下列情形之一的，采购代理机构将乌恰县财政局，将其列入不良行为记录名单：</w:t>
      </w:r>
    </w:p>
    <w:p w14:paraId="00C1CF00">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（一）一年内三次以上质疑均查无实据的；</w:t>
      </w:r>
    </w:p>
    <w:p w14:paraId="20B31076">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（二）捏造事实或者提供虚假质疑材料的。</w:t>
      </w:r>
    </w:p>
    <w:p w14:paraId="5D76B76C">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（三）以非法手段取得证明材料。证据来源的合法性存在明显疑问，质疑人无法证明其取得方式合法的，视为以非法手段取得证明材料。</w:t>
      </w:r>
    </w:p>
    <w:p w14:paraId="4C0E4678">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递交质疑函地址：阿图什市金汇小区斜对面极兔速递旁</w:t>
      </w:r>
    </w:p>
    <w:p w14:paraId="40137D4B">
      <w:pPr>
        <w:shd w:val="clear" w:color="auto" w:fill="auto"/>
        <w:jc w:val="left"/>
        <w:rPr>
          <w:rFonts w:hint="default" w:ascii="仿宋" w:hAnsi="仿宋" w:eastAsia="仿宋" w:cs="仿宋"/>
          <w:b/>
          <w:bCs/>
          <w:color w:val="auto"/>
          <w:sz w:val="28"/>
          <w:szCs w:val="28"/>
          <w:highlight w:val="none"/>
          <w:lang w:val="en-US" w:eastAsia="zh-CN"/>
        </w:rPr>
      </w:pPr>
      <w:r>
        <w:rPr>
          <w:rFonts w:hint="eastAsia" w:ascii="仿宋" w:hAnsi="仿宋" w:eastAsia="仿宋" w:cs="仿宋"/>
          <w:color w:val="auto"/>
          <w:sz w:val="28"/>
          <w:szCs w:val="28"/>
          <w:lang w:val="en-US" w:eastAsia="zh-CN"/>
        </w:rPr>
        <w:t>联系电话：16698959998</w:t>
      </w:r>
    </w:p>
    <w:p w14:paraId="32EDB082">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p>
    <w:p w14:paraId="0096AB1C">
      <w:pPr>
        <w:pStyle w:val="4"/>
        <w:bidi w:val="0"/>
        <w:jc w:val="center"/>
        <w:rPr>
          <w:rFonts w:hint="eastAsia"/>
          <w:highlight w:val="none"/>
        </w:rPr>
      </w:pPr>
      <w:bookmarkStart w:id="12" w:name="_Toc29624"/>
      <w:bookmarkStart w:id="13" w:name="_Toc13447"/>
    </w:p>
    <w:p w14:paraId="3CF32C01">
      <w:pPr>
        <w:pStyle w:val="4"/>
        <w:bidi w:val="0"/>
        <w:jc w:val="center"/>
        <w:rPr>
          <w:rFonts w:hint="eastAsia"/>
          <w:highlight w:val="none"/>
        </w:rPr>
      </w:pPr>
    </w:p>
    <w:p w14:paraId="2E0C7D7C">
      <w:pPr>
        <w:pStyle w:val="4"/>
        <w:bidi w:val="0"/>
        <w:jc w:val="center"/>
        <w:rPr>
          <w:rFonts w:hint="eastAsia"/>
          <w:highlight w:val="none"/>
        </w:rPr>
      </w:pPr>
    </w:p>
    <w:p w14:paraId="6A1850FB">
      <w:pPr>
        <w:pStyle w:val="4"/>
        <w:bidi w:val="0"/>
        <w:jc w:val="center"/>
        <w:rPr>
          <w:rFonts w:hint="eastAsia"/>
          <w:highlight w:val="none"/>
        </w:rPr>
      </w:pPr>
    </w:p>
    <w:p w14:paraId="50B8CDF3">
      <w:pPr>
        <w:pStyle w:val="4"/>
        <w:bidi w:val="0"/>
        <w:jc w:val="center"/>
        <w:rPr>
          <w:rFonts w:hint="eastAsia"/>
          <w:highlight w:val="none"/>
        </w:rPr>
      </w:pPr>
    </w:p>
    <w:p w14:paraId="4BD63AA9">
      <w:pPr>
        <w:pStyle w:val="4"/>
        <w:bidi w:val="0"/>
        <w:jc w:val="center"/>
        <w:rPr>
          <w:rFonts w:hint="eastAsia"/>
          <w:highlight w:val="none"/>
        </w:rPr>
      </w:pPr>
    </w:p>
    <w:p w14:paraId="27597AA8">
      <w:pPr>
        <w:pStyle w:val="4"/>
        <w:bidi w:val="0"/>
        <w:jc w:val="center"/>
        <w:rPr>
          <w:rFonts w:hint="eastAsia"/>
          <w:highlight w:val="none"/>
        </w:rPr>
      </w:pPr>
    </w:p>
    <w:p w14:paraId="21A72B2D">
      <w:pPr>
        <w:pStyle w:val="4"/>
        <w:bidi w:val="0"/>
        <w:jc w:val="center"/>
        <w:rPr>
          <w:rFonts w:hint="eastAsia"/>
          <w:highlight w:val="none"/>
        </w:rPr>
      </w:pPr>
    </w:p>
    <w:p w14:paraId="45F91213">
      <w:pPr>
        <w:pStyle w:val="4"/>
        <w:bidi w:val="0"/>
        <w:jc w:val="center"/>
        <w:rPr>
          <w:rFonts w:hint="eastAsia"/>
          <w:highlight w:val="none"/>
        </w:rPr>
      </w:pPr>
    </w:p>
    <w:p w14:paraId="04E8DAF4">
      <w:pPr>
        <w:pStyle w:val="4"/>
        <w:bidi w:val="0"/>
        <w:jc w:val="center"/>
        <w:rPr>
          <w:rFonts w:hint="eastAsia"/>
          <w:highlight w:val="none"/>
        </w:rPr>
      </w:pPr>
    </w:p>
    <w:p w14:paraId="70D023DD">
      <w:pPr>
        <w:pStyle w:val="4"/>
        <w:bidi w:val="0"/>
        <w:jc w:val="center"/>
        <w:rPr>
          <w:rFonts w:hint="eastAsia"/>
          <w:highlight w:val="none"/>
        </w:rPr>
      </w:pPr>
    </w:p>
    <w:p w14:paraId="32C426E8">
      <w:pPr>
        <w:pStyle w:val="4"/>
        <w:bidi w:val="0"/>
        <w:jc w:val="center"/>
        <w:rPr>
          <w:rFonts w:hint="eastAsia"/>
          <w:highlight w:val="none"/>
        </w:rPr>
      </w:pPr>
    </w:p>
    <w:p w14:paraId="1E74A774">
      <w:pPr>
        <w:pStyle w:val="4"/>
        <w:bidi w:val="0"/>
        <w:jc w:val="center"/>
        <w:rPr>
          <w:rFonts w:hint="eastAsia"/>
          <w:highlight w:val="none"/>
        </w:rPr>
      </w:pPr>
    </w:p>
    <w:p w14:paraId="365FA003">
      <w:pPr>
        <w:pStyle w:val="4"/>
        <w:bidi w:val="0"/>
        <w:jc w:val="center"/>
        <w:rPr>
          <w:rFonts w:hint="eastAsia"/>
          <w:highlight w:val="none"/>
        </w:rPr>
      </w:pPr>
    </w:p>
    <w:p w14:paraId="4E5759DA">
      <w:pPr>
        <w:pStyle w:val="4"/>
        <w:bidi w:val="0"/>
        <w:jc w:val="center"/>
        <w:rPr>
          <w:rFonts w:hint="eastAsia"/>
          <w:highlight w:val="none"/>
        </w:rPr>
      </w:pPr>
    </w:p>
    <w:p w14:paraId="56954C9B">
      <w:pPr>
        <w:pStyle w:val="4"/>
        <w:bidi w:val="0"/>
        <w:jc w:val="center"/>
        <w:rPr>
          <w:rFonts w:hint="eastAsia"/>
          <w:highlight w:val="none"/>
        </w:rPr>
      </w:pPr>
    </w:p>
    <w:p w14:paraId="358A985D">
      <w:pPr>
        <w:pStyle w:val="4"/>
        <w:bidi w:val="0"/>
        <w:jc w:val="center"/>
        <w:rPr>
          <w:rFonts w:hint="eastAsia"/>
          <w:highlight w:val="none"/>
        </w:rPr>
      </w:pPr>
    </w:p>
    <w:p w14:paraId="6122581B">
      <w:pPr>
        <w:pStyle w:val="4"/>
        <w:bidi w:val="0"/>
        <w:jc w:val="center"/>
        <w:rPr>
          <w:rFonts w:hint="eastAsia"/>
          <w:highlight w:val="none"/>
        </w:rPr>
      </w:pPr>
    </w:p>
    <w:p w14:paraId="22B4F7FC">
      <w:pPr>
        <w:pStyle w:val="4"/>
        <w:bidi w:val="0"/>
        <w:jc w:val="center"/>
        <w:rPr>
          <w:rFonts w:hint="eastAsia"/>
          <w:highlight w:val="none"/>
        </w:rPr>
      </w:pPr>
    </w:p>
    <w:p w14:paraId="42E48590">
      <w:pPr>
        <w:pStyle w:val="4"/>
        <w:bidi w:val="0"/>
        <w:jc w:val="center"/>
        <w:rPr>
          <w:rFonts w:hint="eastAsia"/>
          <w:highlight w:val="none"/>
        </w:rPr>
      </w:pPr>
    </w:p>
    <w:p w14:paraId="5A763C5D">
      <w:pPr>
        <w:pStyle w:val="4"/>
        <w:bidi w:val="0"/>
        <w:jc w:val="center"/>
        <w:rPr>
          <w:rFonts w:hint="eastAsia"/>
          <w:highlight w:val="none"/>
        </w:rPr>
      </w:pPr>
    </w:p>
    <w:p w14:paraId="1EE73CC0">
      <w:pPr>
        <w:pStyle w:val="4"/>
        <w:bidi w:val="0"/>
        <w:jc w:val="center"/>
        <w:rPr>
          <w:rFonts w:hint="eastAsia" w:ascii="仿宋" w:hAnsi="仿宋" w:eastAsia="仿宋" w:cs="仿宋"/>
          <w:sz w:val="28"/>
          <w:szCs w:val="28"/>
          <w:highlight w:val="none"/>
        </w:rPr>
      </w:pPr>
    </w:p>
    <w:p w14:paraId="5E12F668">
      <w:pPr>
        <w:pStyle w:val="4"/>
        <w:bidi w:val="0"/>
        <w:jc w:val="center"/>
        <w:rPr>
          <w:rFonts w:hint="eastAsia" w:ascii="仿宋" w:hAnsi="仿宋" w:eastAsia="仿宋" w:cs="仿宋"/>
          <w:sz w:val="28"/>
          <w:szCs w:val="28"/>
          <w:highlight w:val="none"/>
        </w:rPr>
      </w:pPr>
    </w:p>
    <w:p w14:paraId="242A473B">
      <w:pPr>
        <w:pStyle w:val="4"/>
        <w:bidi w:val="0"/>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投 诉 书</w:t>
      </w:r>
      <w:bookmarkEnd w:id="12"/>
      <w:bookmarkEnd w:id="13"/>
    </w:p>
    <w:p w14:paraId="3185C8E6">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outlineLvl w:val="0"/>
        <w:rPr>
          <w:rFonts w:hint="eastAsia" w:ascii="仿宋" w:hAnsi="仿宋" w:eastAsia="仿宋" w:cs="仿宋"/>
          <w:kern w:val="0"/>
          <w:sz w:val="28"/>
          <w:szCs w:val="28"/>
          <w:highlight w:val="none"/>
          <w:lang w:eastAsia="zh-CN"/>
        </w:rPr>
      </w:pPr>
      <w:bookmarkStart w:id="14" w:name="_Toc30403"/>
      <w:bookmarkStart w:id="15" w:name="_Toc21897"/>
      <w:bookmarkStart w:id="16" w:name="_Toc22042"/>
      <w:bookmarkStart w:id="17" w:name="_Toc18623"/>
      <w:bookmarkStart w:id="18" w:name="_Toc4730"/>
      <w:r>
        <w:rPr>
          <w:rFonts w:hint="eastAsia" w:ascii="仿宋" w:hAnsi="仿宋" w:eastAsia="仿宋" w:cs="仿宋"/>
          <w:kern w:val="0"/>
          <w:sz w:val="28"/>
          <w:szCs w:val="28"/>
          <w:highlight w:val="none"/>
          <w:lang w:eastAsia="zh-CN"/>
        </w:rPr>
        <w:t>一、投诉相关主体基本情况</w:t>
      </w:r>
      <w:bookmarkEnd w:id="14"/>
      <w:bookmarkEnd w:id="15"/>
      <w:bookmarkEnd w:id="16"/>
      <w:bookmarkEnd w:id="17"/>
      <w:bookmarkEnd w:id="18"/>
    </w:p>
    <w:p w14:paraId="613E793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投诉人：</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rPr>
        <w:t xml:space="preserve">  </w:t>
      </w:r>
    </w:p>
    <w:p w14:paraId="3A099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地</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址：</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rPr>
        <w:t>邮</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编：</w:t>
      </w:r>
      <w:r>
        <w:rPr>
          <w:rFonts w:hint="eastAsia" w:ascii="仿宋" w:hAnsi="仿宋" w:eastAsia="仿宋" w:cs="仿宋"/>
          <w:kern w:val="0"/>
          <w:sz w:val="28"/>
          <w:szCs w:val="28"/>
          <w:highlight w:val="none"/>
          <w:u w:val="single"/>
        </w:rPr>
        <w:t xml:space="preserve">             </w:t>
      </w:r>
    </w:p>
    <w:p w14:paraId="4553A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none"/>
          <w:lang w:val="en-US" w:eastAsia="zh-CN"/>
        </w:rPr>
      </w:pPr>
      <w:r>
        <w:rPr>
          <w:rFonts w:hint="eastAsia" w:ascii="仿宋" w:hAnsi="仿宋" w:eastAsia="仿宋" w:cs="仿宋"/>
          <w:kern w:val="0"/>
          <w:sz w:val="28"/>
          <w:szCs w:val="28"/>
          <w:highlight w:val="none"/>
          <w:u w:val="none"/>
          <w:lang w:val="en-US" w:eastAsia="zh-CN"/>
        </w:rPr>
        <w:t>法定代表人/主要负责人：</w:t>
      </w:r>
      <w:r>
        <w:rPr>
          <w:rFonts w:hint="eastAsia" w:ascii="仿宋" w:hAnsi="仿宋" w:eastAsia="仿宋" w:cs="仿宋"/>
          <w:kern w:val="0"/>
          <w:sz w:val="28"/>
          <w:szCs w:val="28"/>
          <w:highlight w:val="none"/>
          <w:u w:val="single"/>
          <w:lang w:val="en-US" w:eastAsia="zh-CN"/>
        </w:rPr>
        <w:t xml:space="preserve">                             </w:t>
      </w:r>
    </w:p>
    <w:p w14:paraId="1794A4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联系电话：</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7AB4B5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744" w:leftChars="304" w:firstLine="0" w:firstLineChars="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地</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址：</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邮</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编：</w:t>
      </w:r>
      <w:r>
        <w:rPr>
          <w:rFonts w:hint="eastAsia" w:ascii="仿宋" w:hAnsi="仿宋" w:eastAsia="仿宋" w:cs="仿宋"/>
          <w:kern w:val="0"/>
          <w:sz w:val="28"/>
          <w:szCs w:val="28"/>
          <w:highlight w:val="none"/>
          <w:u w:val="single"/>
        </w:rPr>
        <w:t xml:space="preserve">             </w:t>
      </w:r>
    </w:p>
    <w:p w14:paraId="5C8C8C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744" w:leftChars="304" w:firstLine="0" w:firstLineChars="0"/>
        <w:jc w:val="left"/>
        <w:rPr>
          <w:rFonts w:hint="eastAsia" w:ascii="仿宋" w:hAnsi="仿宋" w:eastAsia="仿宋" w:cs="仿宋"/>
          <w:kern w:val="0"/>
          <w:sz w:val="28"/>
          <w:szCs w:val="28"/>
          <w:highlight w:val="none"/>
          <w:u w:val="single"/>
          <w:lang w:val="en-US" w:eastAsia="zh-CN"/>
        </w:rPr>
      </w:pPr>
      <w:r>
        <w:rPr>
          <w:rFonts w:hint="eastAsia" w:ascii="仿宋" w:hAnsi="仿宋" w:eastAsia="仿宋" w:cs="仿宋"/>
          <w:kern w:val="0"/>
          <w:sz w:val="28"/>
          <w:szCs w:val="28"/>
          <w:highlight w:val="none"/>
          <w:u w:val="none"/>
          <w:lang w:eastAsia="zh-CN"/>
        </w:rPr>
        <w:t>授权代表（如有）：</w:t>
      </w:r>
      <w:r>
        <w:rPr>
          <w:rFonts w:hint="eastAsia" w:ascii="仿宋" w:hAnsi="仿宋" w:eastAsia="仿宋" w:cs="仿宋"/>
          <w:kern w:val="0"/>
          <w:sz w:val="28"/>
          <w:szCs w:val="28"/>
          <w:highlight w:val="none"/>
          <w:u w:val="single"/>
          <w:lang w:val="en-US" w:eastAsia="zh-CN"/>
        </w:rPr>
        <w:t xml:space="preserve">                         </w:t>
      </w:r>
    </w:p>
    <w:p w14:paraId="2E59D0D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lang w:val="en-US" w:eastAsia="zh-CN"/>
        </w:rPr>
        <w:t>联系电话：</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4DC66C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744" w:leftChars="304" w:firstLine="0" w:firstLineChars="0"/>
        <w:jc w:val="left"/>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rPr>
        <w:t>地</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址：</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邮</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编：</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 xml:space="preserve">         </w:t>
      </w:r>
    </w:p>
    <w:p w14:paraId="2E78C8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744" w:leftChars="304" w:firstLine="0" w:firstLineChars="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u w:val="none"/>
          <w:lang w:eastAsia="zh-CN"/>
        </w:rPr>
        <w:t>被投诉人</w:t>
      </w:r>
      <w:r>
        <w:rPr>
          <w:rFonts w:hint="eastAsia" w:ascii="仿宋" w:hAnsi="仿宋" w:eastAsia="仿宋" w:cs="仿宋"/>
          <w:kern w:val="0"/>
          <w:sz w:val="28"/>
          <w:szCs w:val="28"/>
          <w:highlight w:val="none"/>
          <w:u w:val="none"/>
          <w:lang w:val="en-US" w:eastAsia="zh-CN"/>
        </w:rPr>
        <w:t>1：</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地</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址：</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邮</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编：</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lang w:eastAsia="zh-CN"/>
        </w:rPr>
        <w:t>联系人：</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rPr>
        <w:t>联系电话：</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1AAB8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single"/>
          <w:lang w:val="en-US" w:eastAsia="zh-CN"/>
        </w:rPr>
      </w:pPr>
      <w:r>
        <w:rPr>
          <w:rFonts w:hint="eastAsia" w:ascii="仿宋" w:hAnsi="仿宋" w:eastAsia="仿宋" w:cs="仿宋"/>
          <w:kern w:val="0"/>
          <w:sz w:val="28"/>
          <w:szCs w:val="28"/>
          <w:highlight w:val="none"/>
          <w:u w:val="none"/>
          <w:lang w:eastAsia="zh-CN"/>
        </w:rPr>
        <w:t>被投诉人</w:t>
      </w:r>
      <w:r>
        <w:rPr>
          <w:rFonts w:hint="eastAsia" w:ascii="仿宋" w:hAnsi="仿宋" w:eastAsia="仿宋" w:cs="仿宋"/>
          <w:kern w:val="0"/>
          <w:sz w:val="28"/>
          <w:szCs w:val="28"/>
          <w:highlight w:val="none"/>
          <w:u w:val="none"/>
          <w:lang w:val="en-US" w:eastAsia="zh-CN"/>
        </w:rPr>
        <w:t>2：</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1D91AB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744" w:leftChars="304" w:firstLine="0" w:firstLineChars="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u w:val="none"/>
          <w:lang w:val="en-US" w:eastAsia="zh-CN"/>
        </w:rPr>
        <w:t>相关供应商</w:t>
      </w:r>
      <w:r>
        <w:rPr>
          <w:rFonts w:hint="eastAsia" w:ascii="仿宋" w:hAnsi="仿宋" w:eastAsia="仿宋" w:cs="仿宋"/>
          <w:kern w:val="0"/>
          <w:sz w:val="28"/>
          <w:szCs w:val="28"/>
          <w:highlight w:val="none"/>
          <w:u w:val="none"/>
          <w:lang w:eastAsia="zh-CN"/>
        </w:rPr>
        <w:t>（如有）</w:t>
      </w:r>
      <w:r>
        <w:rPr>
          <w:rFonts w:hint="eastAsia" w:ascii="仿宋" w:hAnsi="仿宋" w:eastAsia="仿宋" w:cs="仿宋"/>
          <w:kern w:val="0"/>
          <w:sz w:val="28"/>
          <w:szCs w:val="28"/>
          <w:highlight w:val="none"/>
          <w:u w:val="none"/>
          <w:lang w:val="en-US" w:eastAsia="zh-CN"/>
        </w:rPr>
        <w:t>：</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地</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址：</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邮编：</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0197CE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联系人：</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联系电话：</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31932E80">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outlineLvl w:val="0"/>
        <w:rPr>
          <w:rFonts w:hint="eastAsia" w:ascii="仿宋" w:hAnsi="仿宋" w:eastAsia="仿宋" w:cs="仿宋"/>
          <w:kern w:val="0"/>
          <w:sz w:val="28"/>
          <w:szCs w:val="28"/>
          <w:highlight w:val="none"/>
          <w:lang w:eastAsia="zh-CN"/>
        </w:rPr>
      </w:pPr>
      <w:bookmarkStart w:id="19" w:name="_Toc7437"/>
      <w:bookmarkStart w:id="20" w:name="_Toc25214"/>
      <w:bookmarkStart w:id="21" w:name="_Toc17048"/>
      <w:bookmarkStart w:id="22" w:name="_Toc10853"/>
      <w:bookmarkStart w:id="23" w:name="_Toc18283"/>
      <w:r>
        <w:rPr>
          <w:rFonts w:hint="eastAsia" w:ascii="仿宋" w:hAnsi="仿宋" w:eastAsia="仿宋" w:cs="仿宋"/>
          <w:kern w:val="0"/>
          <w:sz w:val="28"/>
          <w:szCs w:val="28"/>
          <w:highlight w:val="none"/>
          <w:lang w:eastAsia="zh-CN"/>
        </w:rPr>
        <w:t>二、投诉项目基本情况</w:t>
      </w:r>
      <w:bookmarkEnd w:id="19"/>
      <w:bookmarkEnd w:id="20"/>
      <w:bookmarkEnd w:id="21"/>
      <w:bookmarkEnd w:id="22"/>
      <w:bookmarkEnd w:id="23"/>
    </w:p>
    <w:p w14:paraId="39E25D57">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lang w:eastAsia="zh-CN"/>
        </w:rPr>
        <w:t>采购项目名称：</w:t>
      </w:r>
    </w:p>
    <w:p w14:paraId="1398F7A4">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eastAsia="zh-CN"/>
        </w:rPr>
        <w:t>采购项目编号：</w:t>
      </w:r>
      <w:r>
        <w:rPr>
          <w:rFonts w:hint="eastAsia" w:ascii="仿宋" w:hAnsi="仿宋" w:eastAsia="仿宋" w:cs="仿宋"/>
          <w:kern w:val="0"/>
          <w:sz w:val="28"/>
          <w:szCs w:val="28"/>
          <w:highlight w:val="none"/>
          <w:lang w:val="en-US" w:eastAsia="zh-CN"/>
        </w:rPr>
        <w:t xml:space="preserve">        包号：</w:t>
      </w:r>
    </w:p>
    <w:p w14:paraId="528AEFD9">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采购人名称：</w:t>
      </w:r>
    </w:p>
    <w:p w14:paraId="2F201C72">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代理机构名称：</w:t>
      </w:r>
    </w:p>
    <w:p w14:paraId="2B1C84B3">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采购文件公告：是/否 公告期限：</w:t>
      </w:r>
    </w:p>
    <w:p w14:paraId="554030E5">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采购结果公告：是/否 公告期限：</w:t>
      </w:r>
    </w:p>
    <w:p w14:paraId="4936BCBD">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outlineLvl w:val="0"/>
        <w:rPr>
          <w:rFonts w:hint="eastAsia" w:ascii="仿宋" w:hAnsi="仿宋" w:eastAsia="仿宋" w:cs="仿宋"/>
          <w:kern w:val="0"/>
          <w:sz w:val="28"/>
          <w:szCs w:val="28"/>
          <w:highlight w:val="none"/>
          <w:lang w:val="en-US" w:eastAsia="zh-CN"/>
        </w:rPr>
      </w:pPr>
      <w:bookmarkStart w:id="24" w:name="_Toc14152"/>
      <w:bookmarkStart w:id="25" w:name="_Toc2182"/>
      <w:bookmarkStart w:id="26" w:name="_Toc25877"/>
      <w:bookmarkStart w:id="27" w:name="_Toc13582"/>
      <w:bookmarkStart w:id="28" w:name="_Toc13183"/>
      <w:r>
        <w:rPr>
          <w:rFonts w:hint="eastAsia" w:ascii="仿宋" w:hAnsi="仿宋" w:eastAsia="仿宋" w:cs="仿宋"/>
          <w:kern w:val="0"/>
          <w:sz w:val="28"/>
          <w:szCs w:val="28"/>
          <w:highlight w:val="none"/>
          <w:lang w:val="en-US" w:eastAsia="zh-CN"/>
        </w:rPr>
        <w:t>三、质疑基本情况</w:t>
      </w:r>
      <w:bookmarkEnd w:id="24"/>
      <w:bookmarkEnd w:id="25"/>
      <w:bookmarkEnd w:id="26"/>
      <w:bookmarkEnd w:id="27"/>
      <w:bookmarkEnd w:id="28"/>
    </w:p>
    <w:p w14:paraId="75F3BB1F">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投诉人于    年  月  日，向       提出质疑，</w:t>
      </w:r>
    </w:p>
    <w:p w14:paraId="0CD14D15">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质疑事项为：</w:t>
      </w:r>
    </w:p>
    <w:p w14:paraId="439E82DB">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采购人/代理机构于    年  月  日，就质疑事项做出了答复/没有在法定期限内做出答复。</w:t>
      </w:r>
    </w:p>
    <w:p w14:paraId="2172A025">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outlineLvl w:val="0"/>
        <w:rPr>
          <w:rFonts w:hint="eastAsia" w:ascii="仿宋" w:hAnsi="仿宋" w:eastAsia="仿宋" w:cs="仿宋"/>
          <w:kern w:val="0"/>
          <w:sz w:val="28"/>
          <w:szCs w:val="28"/>
          <w:highlight w:val="none"/>
          <w:lang w:val="en-US" w:eastAsia="zh-CN"/>
        </w:rPr>
      </w:pPr>
      <w:bookmarkStart w:id="29" w:name="_Toc23110"/>
      <w:bookmarkStart w:id="30" w:name="_Toc3347"/>
      <w:bookmarkStart w:id="31" w:name="_Toc17256"/>
      <w:bookmarkStart w:id="32" w:name="_Toc15203"/>
      <w:bookmarkStart w:id="33" w:name="_Toc26083"/>
      <w:r>
        <w:rPr>
          <w:rFonts w:hint="eastAsia" w:ascii="仿宋" w:hAnsi="仿宋" w:eastAsia="仿宋" w:cs="仿宋"/>
          <w:kern w:val="0"/>
          <w:sz w:val="28"/>
          <w:szCs w:val="28"/>
          <w:highlight w:val="none"/>
          <w:lang w:val="en-US" w:eastAsia="zh-CN"/>
        </w:rPr>
        <w:t>四、投诉事项具体内容</w:t>
      </w:r>
      <w:bookmarkEnd w:id="29"/>
      <w:bookmarkEnd w:id="30"/>
      <w:bookmarkEnd w:id="31"/>
      <w:bookmarkEnd w:id="32"/>
      <w:bookmarkEnd w:id="33"/>
    </w:p>
    <w:p w14:paraId="61215C0C">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投诉事项1：</w:t>
      </w:r>
    </w:p>
    <w:p w14:paraId="5AAAE19F">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事实依据：</w:t>
      </w:r>
    </w:p>
    <w:p w14:paraId="152E84AD">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法律依据1：</w:t>
      </w:r>
    </w:p>
    <w:p w14:paraId="5EC5C596">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法律依据2：</w:t>
      </w:r>
    </w:p>
    <w:p w14:paraId="0769A5E1">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p>
    <w:p w14:paraId="3D01E2DB">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投诉事项2：</w:t>
      </w:r>
    </w:p>
    <w:p w14:paraId="411A006E">
      <w:pPr>
        <w:ind w:firstLine="570" w:firstLineChars="200"/>
        <w:rPr>
          <w:rFonts w:hint="eastAsia" w:ascii="仿宋" w:hAnsi="仿宋" w:eastAsia="仿宋" w:cs="仿宋"/>
          <w:kern w:val="0"/>
          <w:sz w:val="28"/>
          <w:szCs w:val="28"/>
          <w:highlight w:val="none"/>
          <w:u w:val="single"/>
          <w:lang w:val="en-US" w:eastAsia="zh-CN"/>
        </w:rPr>
      </w:pPr>
      <w:r>
        <w:rPr>
          <w:rFonts w:hint="eastAsia" w:ascii="仿宋" w:hAnsi="仿宋" w:eastAsia="仿宋" w:cs="仿宋"/>
          <w:sz w:val="28"/>
          <w:szCs w:val="28"/>
          <w:highlight w:val="none"/>
        </w:rPr>
        <w:t>……</w:t>
      </w:r>
    </w:p>
    <w:p w14:paraId="3B293EDC">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outlineLvl w:val="0"/>
        <w:rPr>
          <w:rFonts w:hint="eastAsia" w:ascii="仿宋" w:hAnsi="仿宋" w:eastAsia="仿宋" w:cs="仿宋"/>
          <w:kern w:val="0"/>
          <w:sz w:val="28"/>
          <w:szCs w:val="28"/>
          <w:highlight w:val="none"/>
          <w:lang w:eastAsia="zh-CN"/>
        </w:rPr>
      </w:pPr>
      <w:bookmarkStart w:id="34" w:name="_Toc31495"/>
      <w:bookmarkStart w:id="35" w:name="_Toc13424"/>
      <w:bookmarkStart w:id="36" w:name="_Toc32324"/>
      <w:bookmarkStart w:id="37" w:name="_Toc16036"/>
      <w:bookmarkStart w:id="38" w:name="_Toc16741"/>
      <w:r>
        <w:rPr>
          <w:rFonts w:hint="eastAsia" w:ascii="仿宋" w:hAnsi="仿宋" w:eastAsia="仿宋" w:cs="仿宋"/>
          <w:kern w:val="0"/>
          <w:sz w:val="28"/>
          <w:szCs w:val="28"/>
          <w:highlight w:val="none"/>
          <w:lang w:eastAsia="zh-CN"/>
        </w:rPr>
        <w:t>五、与投诉事项相关的投诉请求</w:t>
      </w:r>
      <w:bookmarkEnd w:id="34"/>
      <w:bookmarkEnd w:id="35"/>
      <w:bookmarkEnd w:id="36"/>
      <w:bookmarkEnd w:id="37"/>
      <w:bookmarkEnd w:id="38"/>
    </w:p>
    <w:p w14:paraId="2CE67F2D">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eastAsia="zh-CN"/>
        </w:rPr>
        <w:t>请求：</w:t>
      </w:r>
    </w:p>
    <w:p w14:paraId="2EAB983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 w:hAnsi="仿宋" w:eastAsia="仿宋" w:cs="仿宋"/>
          <w:kern w:val="0"/>
          <w:sz w:val="28"/>
          <w:szCs w:val="28"/>
          <w:highlight w:val="none"/>
        </w:rPr>
      </w:pPr>
    </w:p>
    <w:p w14:paraId="336F6B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eastAsia="zh-CN"/>
        </w:rPr>
        <w:t>签字（签章）（法人代表或负责人、代理人）：</w:t>
      </w:r>
      <w:r>
        <w:rPr>
          <w:rFonts w:hint="eastAsia" w:ascii="仿宋" w:hAnsi="仿宋" w:eastAsia="仿宋" w:cs="仿宋"/>
          <w:kern w:val="0"/>
          <w:sz w:val="28"/>
          <w:szCs w:val="28"/>
          <w:highlight w:val="none"/>
          <w:lang w:val="en-US" w:eastAsia="zh-CN"/>
        </w:rPr>
        <w:t xml:space="preserve">       </w:t>
      </w:r>
    </w:p>
    <w:p w14:paraId="7175E5D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lang w:eastAsia="zh-CN"/>
        </w:rPr>
        <w:t>公章（单位）：</w:t>
      </w:r>
      <w:r>
        <w:rPr>
          <w:rFonts w:hint="eastAsia" w:ascii="仿宋" w:hAnsi="仿宋" w:eastAsia="仿宋" w:cs="仿宋"/>
          <w:kern w:val="0"/>
          <w:sz w:val="28"/>
          <w:szCs w:val="28"/>
          <w:highlight w:val="none"/>
        </w:rPr>
        <w:t xml:space="preserve">            </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 xml:space="preserve">  </w:t>
      </w:r>
    </w:p>
    <w:p w14:paraId="5070E31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lang w:eastAsia="zh-CN"/>
        </w:rPr>
        <w:t>日期：</w:t>
      </w:r>
    </w:p>
    <w:p w14:paraId="5820E5B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 w:hAnsi="仿宋" w:eastAsia="仿宋" w:cs="仿宋"/>
          <w:kern w:val="0"/>
          <w:sz w:val="28"/>
          <w:szCs w:val="28"/>
          <w:highlight w:val="none"/>
          <w:lang w:eastAsia="zh-CN"/>
        </w:rPr>
      </w:pPr>
    </w:p>
    <w:p w14:paraId="029C4B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eastAsia="zh-CN"/>
        </w:rPr>
      </w:pPr>
      <w:bookmarkStart w:id="39" w:name="_Toc7988"/>
      <w:r>
        <w:rPr>
          <w:rFonts w:hint="eastAsia" w:ascii="仿宋" w:hAnsi="仿宋" w:eastAsia="仿宋" w:cs="仿宋"/>
          <w:kern w:val="0"/>
          <w:sz w:val="28"/>
          <w:szCs w:val="28"/>
          <w:highlight w:val="none"/>
          <w:lang w:eastAsia="zh-CN"/>
        </w:rPr>
        <w:t>附件：质疑及答复材料</w:t>
      </w:r>
    </w:p>
    <w:p w14:paraId="06DD24B5">
      <w:pPr>
        <w:rPr>
          <w:rFonts w:hint="eastAsia" w:ascii="仿宋" w:hAnsi="仿宋" w:eastAsia="仿宋" w:cs="仿宋"/>
          <w:b/>
          <w:bCs/>
          <w:kern w:val="0"/>
          <w:sz w:val="28"/>
          <w:szCs w:val="28"/>
          <w:highlight w:val="none"/>
          <w:lang w:eastAsia="zh-CN"/>
        </w:rPr>
      </w:pPr>
      <w:bookmarkStart w:id="40" w:name="_Toc20349"/>
      <w:r>
        <w:rPr>
          <w:rFonts w:hint="eastAsia" w:ascii="仿宋" w:hAnsi="仿宋" w:eastAsia="仿宋" w:cs="仿宋"/>
          <w:b/>
          <w:bCs/>
          <w:kern w:val="0"/>
          <w:sz w:val="28"/>
          <w:szCs w:val="28"/>
          <w:highlight w:val="none"/>
          <w:lang w:eastAsia="zh-CN"/>
        </w:rPr>
        <w:br w:type="page"/>
      </w:r>
    </w:p>
    <w:p w14:paraId="4956E1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outlineLvl w:val="0"/>
        <w:rPr>
          <w:rFonts w:hint="eastAsia" w:ascii="仿宋" w:hAnsi="仿宋" w:eastAsia="仿宋" w:cs="仿宋"/>
          <w:b/>
          <w:bCs/>
          <w:kern w:val="0"/>
          <w:sz w:val="28"/>
          <w:szCs w:val="28"/>
          <w:highlight w:val="none"/>
          <w:lang w:eastAsia="zh-CN"/>
        </w:rPr>
      </w:pPr>
      <w:bookmarkStart w:id="41" w:name="_Toc29658"/>
      <w:bookmarkStart w:id="42" w:name="_Toc31452"/>
      <w:bookmarkStart w:id="43" w:name="_Toc5781"/>
      <w:r>
        <w:rPr>
          <w:rFonts w:hint="eastAsia" w:ascii="仿宋" w:hAnsi="仿宋" w:eastAsia="仿宋" w:cs="仿宋"/>
          <w:b/>
          <w:bCs/>
          <w:kern w:val="0"/>
          <w:sz w:val="28"/>
          <w:szCs w:val="28"/>
          <w:highlight w:val="none"/>
          <w:lang w:eastAsia="zh-CN"/>
        </w:rPr>
        <w:t>投诉书制作说明：</w:t>
      </w:r>
      <w:bookmarkEnd w:id="39"/>
      <w:bookmarkEnd w:id="40"/>
      <w:bookmarkEnd w:id="41"/>
      <w:bookmarkEnd w:id="42"/>
      <w:bookmarkEnd w:id="43"/>
    </w:p>
    <w:p w14:paraId="0AA470F6">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1.投诉人应当按照《政府采购质疑和投诉办法》（财政部令第94号）规定提起投诉。</w:t>
      </w:r>
    </w:p>
    <w:p w14:paraId="3B9BF2F2">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2.投诉人提起投诉时，应当提交投诉书和必要的证明材料，并按照被投诉人和与投诉事项有关的供应商数量提供投诉书副本。</w:t>
      </w:r>
    </w:p>
    <w:p w14:paraId="04AEE27E">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3.投诉人若委托代理人进行投诉的，投诉书应按照要求列明“授权代表”的有关内容，并在附件中提交由投诉人签署的授权委托书。授权委托书应当载明代理人的姓名或者名称、代理事项、具体权限、期限和相关事项。</w:t>
      </w:r>
    </w:p>
    <w:p w14:paraId="5E7F5FC4">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4.投诉人若对项目的某一分包进行投诉，投诉书应列明具体分包号。</w:t>
      </w:r>
    </w:p>
    <w:p w14:paraId="0E8838BC">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5.投诉书应简要列明质疑事项，质疑函、质疑答复等作为附件材料提供。</w:t>
      </w:r>
    </w:p>
    <w:p w14:paraId="4E4B2DD4">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6.投诉书的投诉事项应具体、明确，并由必要的事实依据和法律依据。</w:t>
      </w:r>
    </w:p>
    <w:p w14:paraId="7A5633D8">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7.投诉书的投诉请求应与投诉事项相关。</w:t>
      </w:r>
    </w:p>
    <w:p w14:paraId="22D7CC17">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8.投诉人为自然人的，投诉书应当由本人签字；投诉书应当由法定代表人、主要负责人，或者其授权代表签字或者盖章，并加盖公章。</w:t>
      </w:r>
    </w:p>
    <w:p w14:paraId="1A2A619C">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 w:hAnsi="仿宋" w:eastAsia="仿宋" w:cs="仿宋"/>
          <w:sz w:val="28"/>
          <w:szCs w:val="28"/>
        </w:rPr>
      </w:pPr>
    </w:p>
    <w:p w14:paraId="7E9C919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2A0F1A27">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084081B8">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递交投诉书地址</w:t>
      </w:r>
      <w:r>
        <w:rPr>
          <w:rFonts w:hint="eastAsia" w:ascii="仿宋" w:hAnsi="仿宋" w:eastAsia="仿宋" w:cs="仿宋"/>
          <w:color w:val="auto"/>
          <w:sz w:val="28"/>
          <w:szCs w:val="28"/>
          <w:lang w:val="en-US" w:eastAsia="zh-CN"/>
        </w:rPr>
        <w:t>克州财政局政府采购办</w:t>
      </w:r>
      <w:r>
        <w:rPr>
          <w:rFonts w:hint="eastAsia" w:ascii="仿宋" w:hAnsi="仿宋" w:eastAsia="仿宋" w:cs="仿宋"/>
          <w:color w:val="auto"/>
          <w:sz w:val="28"/>
          <w:szCs w:val="28"/>
        </w:rPr>
        <w:t>监管办公室</w:t>
      </w:r>
      <w:r>
        <w:rPr>
          <w:rFonts w:hint="eastAsia" w:ascii="仿宋" w:hAnsi="仿宋" w:eastAsia="仿宋" w:cs="仿宋"/>
          <w:color w:val="auto"/>
          <w:sz w:val="28"/>
          <w:szCs w:val="28"/>
          <w:lang w:val="en-US" w:eastAsia="zh-CN"/>
        </w:rPr>
        <w:t xml:space="preserve">  </w:t>
      </w:r>
    </w:p>
    <w:p w14:paraId="06F88560">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1F21891F">
      <w:pPr>
        <w:pStyle w:val="2"/>
        <w:rPr>
          <w:rFonts w:hint="eastAsia"/>
        </w:rPr>
      </w:pPr>
    </w:p>
    <w:p w14:paraId="08A4AF22">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5EE19857">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57DAA0BA">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5540C2E0">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bookmarkStart w:id="44" w:name="_Toc30728"/>
      <w:bookmarkStart w:id="45" w:name="_Toc16839"/>
      <w:bookmarkStart w:id="46" w:name="_Toc8992"/>
      <w:bookmarkStart w:id="47" w:name="_Toc21386"/>
      <w:bookmarkStart w:id="48" w:name="_Toc1697"/>
      <w:bookmarkStart w:id="49" w:name="_Toc20613"/>
      <w:r>
        <w:rPr>
          <w:rFonts w:hint="eastAsia" w:ascii="仿宋" w:hAnsi="仿宋" w:eastAsia="仿宋" w:cs="仿宋"/>
          <w:color w:val="auto"/>
          <w:sz w:val="28"/>
          <w:szCs w:val="28"/>
        </w:rPr>
        <w:t>质疑函范本</w:t>
      </w:r>
      <w:bookmarkEnd w:id="44"/>
      <w:bookmarkEnd w:id="45"/>
      <w:bookmarkEnd w:id="46"/>
      <w:bookmarkEnd w:id="47"/>
      <w:bookmarkEnd w:id="48"/>
      <w:bookmarkEnd w:id="49"/>
    </w:p>
    <w:p w14:paraId="50DB8AD9">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bookmarkStart w:id="50" w:name="_Toc22511"/>
      <w:bookmarkStart w:id="51" w:name="_Toc30023"/>
      <w:bookmarkStart w:id="52" w:name="_Toc1830"/>
      <w:bookmarkStart w:id="53" w:name="_Toc2374"/>
      <w:bookmarkStart w:id="54" w:name="_Toc9061"/>
      <w:r>
        <w:rPr>
          <w:rFonts w:hint="eastAsia" w:ascii="仿宋" w:hAnsi="仿宋" w:eastAsia="仿宋" w:cs="仿宋"/>
          <w:color w:val="auto"/>
          <w:sz w:val="28"/>
          <w:szCs w:val="28"/>
        </w:rPr>
        <w:t>一、质疑供应商基本信息</w:t>
      </w:r>
      <w:bookmarkEnd w:id="50"/>
      <w:bookmarkEnd w:id="51"/>
      <w:bookmarkEnd w:id="52"/>
      <w:bookmarkEnd w:id="53"/>
      <w:bookmarkEnd w:id="54"/>
    </w:p>
    <w:p w14:paraId="16CB70C8">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质疑供应商：                         </w:t>
      </w:r>
    </w:p>
    <w:p w14:paraId="1FD96604">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地址：                          邮编：            </w:t>
      </w:r>
    </w:p>
    <w:p w14:paraId="5A0C428B">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联系人：                      联系电话：            </w:t>
      </w:r>
    </w:p>
    <w:p w14:paraId="3CD496A6">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授权代表：                                          </w:t>
      </w:r>
    </w:p>
    <w:p w14:paraId="70B2424D">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联系电话：                                          </w:t>
      </w:r>
    </w:p>
    <w:p w14:paraId="30F2D651">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地址：                         邮编：               </w:t>
      </w:r>
    </w:p>
    <w:p w14:paraId="692A8CE7">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bookmarkStart w:id="55" w:name="_Toc15938"/>
      <w:bookmarkStart w:id="56" w:name="_Toc17113"/>
      <w:bookmarkStart w:id="57" w:name="_Toc18264"/>
      <w:bookmarkStart w:id="58" w:name="_Toc1689"/>
      <w:bookmarkStart w:id="59" w:name="_Toc29308"/>
      <w:r>
        <w:rPr>
          <w:rFonts w:hint="eastAsia" w:ascii="仿宋" w:hAnsi="仿宋" w:eastAsia="仿宋" w:cs="仿宋"/>
          <w:color w:val="auto"/>
          <w:sz w:val="28"/>
          <w:szCs w:val="28"/>
        </w:rPr>
        <w:t>二、质疑项目基本情况</w:t>
      </w:r>
      <w:bookmarkEnd w:id="55"/>
      <w:bookmarkEnd w:id="56"/>
      <w:bookmarkEnd w:id="57"/>
      <w:bookmarkEnd w:id="58"/>
      <w:bookmarkEnd w:id="59"/>
    </w:p>
    <w:p w14:paraId="6FF02E22">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质疑项目的名称：                                     </w:t>
      </w:r>
    </w:p>
    <w:p w14:paraId="0CDC17B9">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质疑项目的编号：               包号：                </w:t>
      </w:r>
    </w:p>
    <w:p w14:paraId="5CBD0576">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采购人名称：                                         </w:t>
      </w:r>
    </w:p>
    <w:p w14:paraId="4823425F">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竞争性</w:t>
      </w:r>
      <w:r>
        <w:rPr>
          <w:rFonts w:hint="eastAsia" w:ascii="仿宋" w:hAnsi="仿宋" w:eastAsia="仿宋" w:cs="仿宋"/>
          <w:color w:val="auto"/>
          <w:sz w:val="28"/>
          <w:szCs w:val="28"/>
          <w:lang w:val="en-US" w:eastAsia="zh-CN"/>
        </w:rPr>
        <w:t>谈判</w:t>
      </w:r>
      <w:r>
        <w:rPr>
          <w:rFonts w:hint="eastAsia" w:ascii="仿宋" w:hAnsi="仿宋" w:eastAsia="仿宋" w:cs="仿宋"/>
          <w:color w:val="auto"/>
          <w:sz w:val="28"/>
          <w:szCs w:val="28"/>
          <w:lang w:eastAsia="zh-CN"/>
        </w:rPr>
        <w:t>文件</w:t>
      </w:r>
      <w:r>
        <w:rPr>
          <w:rFonts w:hint="eastAsia" w:ascii="仿宋" w:hAnsi="仿宋" w:eastAsia="仿宋" w:cs="仿宋"/>
          <w:color w:val="auto"/>
          <w:sz w:val="28"/>
          <w:szCs w:val="28"/>
        </w:rPr>
        <w:t xml:space="preserve">获取日期：                                   </w:t>
      </w:r>
    </w:p>
    <w:p w14:paraId="00E81DCD">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bookmarkStart w:id="60" w:name="_Toc15547"/>
      <w:bookmarkStart w:id="61" w:name="_Toc27626"/>
      <w:bookmarkStart w:id="62" w:name="_Toc28143"/>
      <w:bookmarkStart w:id="63" w:name="_Toc18271"/>
      <w:bookmarkStart w:id="64" w:name="_Toc31166"/>
      <w:r>
        <w:rPr>
          <w:rFonts w:hint="eastAsia" w:ascii="仿宋" w:hAnsi="仿宋" w:eastAsia="仿宋" w:cs="仿宋"/>
          <w:color w:val="auto"/>
          <w:sz w:val="28"/>
          <w:szCs w:val="28"/>
          <w:lang w:eastAsia="zh-CN"/>
        </w:rPr>
        <w:t>三、质疑事项具体内容</w:t>
      </w:r>
      <w:bookmarkEnd w:id="60"/>
      <w:bookmarkEnd w:id="61"/>
      <w:bookmarkEnd w:id="62"/>
      <w:bookmarkEnd w:id="63"/>
      <w:bookmarkEnd w:id="64"/>
    </w:p>
    <w:p w14:paraId="79F1E8A8">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质疑事项1：                                         </w:t>
      </w:r>
    </w:p>
    <w:p w14:paraId="697D7736">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事实依据：                                           </w:t>
      </w:r>
    </w:p>
    <w:p w14:paraId="4C09C062">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法律依据：                                           </w:t>
      </w:r>
    </w:p>
    <w:p w14:paraId="00DE0BFD">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质疑事项2</w:t>
      </w:r>
    </w:p>
    <w:p w14:paraId="39E856B2">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w:t>
      </w:r>
    </w:p>
    <w:p w14:paraId="11F46AB9">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bookmarkStart w:id="65" w:name="_Toc22365"/>
      <w:bookmarkStart w:id="66" w:name="_Toc26603"/>
      <w:bookmarkStart w:id="67" w:name="_Toc15463"/>
      <w:bookmarkStart w:id="68" w:name="_Toc29488"/>
      <w:bookmarkStart w:id="69" w:name="_Toc30281"/>
      <w:r>
        <w:rPr>
          <w:rFonts w:hint="eastAsia" w:ascii="仿宋" w:hAnsi="仿宋" w:eastAsia="仿宋" w:cs="仿宋"/>
          <w:color w:val="auto"/>
          <w:sz w:val="28"/>
          <w:szCs w:val="28"/>
          <w:lang w:eastAsia="zh-CN"/>
        </w:rPr>
        <w:t>四、与质疑事项相关的质疑请求</w:t>
      </w:r>
      <w:bookmarkEnd w:id="65"/>
      <w:bookmarkEnd w:id="66"/>
      <w:bookmarkEnd w:id="67"/>
      <w:bookmarkEnd w:id="68"/>
      <w:bookmarkEnd w:id="69"/>
    </w:p>
    <w:p w14:paraId="4354F3EA">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请求：                                               </w:t>
      </w:r>
    </w:p>
    <w:p w14:paraId="14E9F533">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签字(签章)：                   公章：                      </w:t>
      </w:r>
    </w:p>
    <w:p w14:paraId="4EA36791">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日期：   </w:t>
      </w:r>
    </w:p>
    <w:p w14:paraId="142D0B0D">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p>
    <w:p w14:paraId="329BB59A">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p>
    <w:p w14:paraId="2263E018">
      <w:pPr>
        <w:pStyle w:val="8"/>
        <w:rPr>
          <w:rFonts w:hint="eastAsia" w:ascii="仿宋" w:hAnsi="仿宋" w:eastAsia="仿宋" w:cs="仿宋"/>
          <w:color w:val="auto"/>
          <w:sz w:val="28"/>
          <w:szCs w:val="28"/>
          <w:lang w:eastAsia="zh-CN"/>
        </w:rPr>
      </w:pPr>
    </w:p>
    <w:p w14:paraId="5A2ECAD8">
      <w:pPr>
        <w:spacing w:line="760" w:lineRule="exact"/>
        <w:jc w:val="center"/>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val="en-US" w:eastAsia="zh-CN"/>
        </w:rPr>
        <w:t>第二部分采购需</w:t>
      </w:r>
      <w:r>
        <w:rPr>
          <w:rFonts w:hint="eastAsia" w:ascii="仿宋" w:hAnsi="仿宋" w:eastAsia="仿宋" w:cs="仿宋"/>
          <w:b/>
          <w:color w:val="auto"/>
          <w:sz w:val="28"/>
          <w:szCs w:val="28"/>
          <w:highlight w:val="none"/>
          <w:lang w:eastAsia="zh-CN"/>
        </w:rPr>
        <w:t>求</w:t>
      </w:r>
    </w:p>
    <w:p w14:paraId="2C407588">
      <w:pPr>
        <w:spacing w:line="760" w:lineRule="exact"/>
        <w:jc w:val="center"/>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技术参数规格要求</w:t>
      </w:r>
    </w:p>
    <w:tbl>
      <w:tblPr>
        <w:tblStyle w:val="17"/>
        <w:tblW w:w="1022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97"/>
        <w:gridCol w:w="972"/>
        <w:gridCol w:w="648"/>
        <w:gridCol w:w="3984"/>
        <w:gridCol w:w="1284"/>
        <w:gridCol w:w="2736"/>
      </w:tblGrid>
      <w:tr w14:paraId="260B0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753DA67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3C53B8E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设备名称</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4961CCD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5581D83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技术参数及要求</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681483B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备注</w:t>
            </w:r>
          </w:p>
        </w:tc>
        <w:tc>
          <w:tcPr>
            <w:tcW w:w="2736" w:type="dxa"/>
            <w:tcBorders>
              <w:top w:val="single" w:color="000000" w:sz="4" w:space="0"/>
              <w:left w:val="single" w:color="000000" w:sz="4" w:space="0"/>
              <w:bottom w:val="single" w:color="000000" w:sz="4" w:space="0"/>
              <w:right w:val="single" w:color="000000" w:sz="4" w:space="0"/>
            </w:tcBorders>
            <w:noWrap/>
            <w:vAlign w:val="center"/>
          </w:tcPr>
          <w:p w14:paraId="471A8DA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配备相应标准</w:t>
            </w:r>
          </w:p>
        </w:tc>
      </w:tr>
      <w:tr w14:paraId="148C9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0"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007C6C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14C467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接地电阻测试仪</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043EAFDB">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4台</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42AF784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1.接地电阻—量程：0.01Ω～3000Ω；分辨力：0.01Ω； 精确度：±2%rdg±3dgt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2.接地电压—量程：0.01～600V AC；分辨力：1V； 精确度：±2%rdg±3dgt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3.电源：可充锂电池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4.测试线：15m、10m、5m 线长各 1 条；1.6m 线长 2 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5. 测试频率：128Hz/111Hz/105Hz/94Hz(AFC)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6.测试电流：＞20mA（正弦波）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7.测量时间：对地电压：3 次/秒；接地电阻：15 秒/次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8.数据存储：至少 400 组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9.数据查阅：具备数据查阅功能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10.辅助接地棒：2 根：φ9mm×230mm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11.具有输出或 USB 接口，软件监控，存储数据可以上传电脑，保存打印；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12.具备线阻校验功能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13.具备过载报警功能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14.具有一键快速测量功能，数显式，不少于三档档位测量（0-20Ω，分辨率不低于0.01Ω；0-200Ω，分辨率不低于0.1Ω；0-2000Ω，分辨率不低于1Ω），</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4540CE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随设备附法定计量机构出具的检定校准证书</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14:paraId="5C4E5F2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配备相应最新的标准及规范：TSG  07—2019(含第1和第2号修改单)、TSG  08—2017、TSG  T5002—2017、TSG   Z7001—2021、TSG   Z7002—2022、TSG   T7007—2022、TSG   T7001—2023、TSG   T7008—2023、GB/T 7588.1—2020、GB/T 7588.2—2020、GB 16899—2011、GB 25194—2010、GB/T 31094—2014、GB/T 35857—2018、GB/T 26465—2021、GB/T 42615—2023、、GB/T 24803.1—2009、GB/T 24803.2—2013、GB/T 39078.1—2020、GB/T   24804—2023、GB/T 30692—2014</w:t>
            </w:r>
          </w:p>
        </w:tc>
      </w:tr>
      <w:tr w14:paraId="43A32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0"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474FCA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5E0A53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残炭测定仪</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3F100038">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1台</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75692235">
            <w:pPr>
              <w:keepNext w:val="0"/>
              <w:keepLines w:val="0"/>
              <w:widowControl/>
              <w:suppressLineNumbers w:val="0"/>
              <w:spacing w:after="200" w:afterAutospacing="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应用范围：测定残炭的范围是 0.10%(m/m) ~ 30.0%(m/m)；吹扫、升温、恒温、降温等试验阶段自动运行，程序波段温度控制，流量自动切换；自动计算试验结果，存储试验数据，历史数据随时查询、结果在电脑上显示并打印等功能；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智能PID控温，恒温准确；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试验结束自动报警（声音）；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安全保护：外接氮气压力小于80kPa或加热炉温度超过550℃时，仪器停止加热并报警提示。加热炉温度超过600℃时，仪器直接停止动作并报警提示；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热电偶检测温度；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主要气路元件全部优质元件，保证仪器寿命；专用的（螺口）耐温防爆冷凝瓶（废液瓶）；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采用不锈钢排气管进行废气的排放；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生焦箱控温范围：室温~550℃；测量精度：±0.5℃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加热速率：10℃/mi n～15℃ /min； 生焦箱恒温精度：500℃±2.0℃；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生焦箱恒温时间：15min； 工作压力：175Kpa（0～400kPa可调）；气源压力：调节，一级压力500Kpa（可调），二级压力300Kpa（可调）；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流量调节范围：100ml~1000ml/min；150ml/min和600 ml/min自动切换；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耗气量：压力为14700 kPa(150 kg/cm2)的标准氮气瓶，100次/瓶；采用独立的自动采集试验数据</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51D3A9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适用于GB/T 17144《石油产品残炭测定法（微量法）》的标准要求，支持后期软件免费升级。随设备附法定计量机构出具的检定校准证书</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14:paraId="7C92F2B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配备相应最新的标准及规范：GB/T 601-2016、GB/T 6682-2008、GB/T 24747-2023、GB/T 23971-2009、GB/T 17410-2023、GB/T 34352-2017、GB/T 3536-2008、GB/T 265-1988、NB/SH/T 0956-2017、GB/T 11137-1989、GB/T 41733-2022、GB/T 17144-2021、GB/T 268-1987、GB/T 261-2021、GB/T 11133-2015、SH/T 0246-1992、GB/T 6536-2010、SH/T 0604-2000、GB/T 1884-2000、GB/T 23800-2009、SH/T 0642-1997、NB/SH/T 0558-2016、GB/T 4756-2015、GB/T 7304-2014、GB/T 7631.12-1994、GB/T 16483-2008、SH/T 0170-1992、GB/T 259-1988</w:t>
            </w:r>
          </w:p>
        </w:tc>
      </w:tr>
      <w:tr w14:paraId="4C515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0"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437978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5571F9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运动粘度测定仪</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5CA17DFE">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1台</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5DC6205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配备相应的软件，具有自动记忆功能，主机内置水平尺，需调整并保持仪器和毛细管水平；有故障诊断，超温告警等功能；</w:t>
            </w:r>
          </w:p>
          <w:p w14:paraId="163ED9C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工位数：不少于4个工位；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恒温浴缸容量：25L；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仪器测试过程可在电脑上全程模拟结果可打印；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温控精度：控温范围+10℃～+135℃， +10℃—+40℃，控温精度±0.05℃, +41℃—+100℃，控温精度±0.05℃, +101℃—+135℃，控温精度±0.05℃.显示精度±0.01℃；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最大计时时间为999.99秒。计时精度：0.01S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毛细管最小直径：0.4ｍｍ，最大直径：6.0ｍｍ；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毛细管类型：乌氏管、逆流管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运动粘度测试范围：1-30000mm2/s；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运动粘度的重复性精度：适用于GB/T  30515-2014中的要求；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运动粘度的再现性精度: 适用于GB/T  30515-2014中的要求；</w:t>
            </w:r>
            <w:r>
              <w:rPr>
                <w:rFonts w:hint="eastAsia" w:ascii="宋体" w:hAnsi="宋体" w:eastAsia="宋体" w:cs="宋体"/>
                <w:i w:val="0"/>
                <w:iCs w:val="0"/>
                <w:color w:val="000000"/>
                <w:kern w:val="0"/>
                <w:sz w:val="18"/>
                <w:szCs w:val="18"/>
                <w:u w:val="none"/>
                <w:lang w:val="en-US" w:eastAsia="zh-CN" w:bidi="ar"/>
              </w:rPr>
              <w:br w:type="textWrapping"/>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5777CF9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适用于GB/T  11137-1989 《深色石油产品运动粘度测定法(逆流法)和动力粘度计算法》、GB/T  30515-2014 《透明和不透明液体石油产品运动黏度测定法及动力黏度计算法》、GB/T265《石油产品运动粘度测定法和动力粘度计算法》的标准要求。随设备附法定计量机构出具的检定校准证书</w:t>
            </w:r>
          </w:p>
        </w:tc>
        <w:tc>
          <w:tcPr>
            <w:tcW w:w="2736" w:type="dxa"/>
            <w:tcBorders>
              <w:top w:val="single" w:color="000000" w:sz="4" w:space="0"/>
              <w:left w:val="single" w:color="000000" w:sz="4" w:space="0"/>
              <w:bottom w:val="single" w:color="000000" w:sz="4" w:space="0"/>
              <w:right w:val="single" w:color="000000" w:sz="4" w:space="0"/>
            </w:tcBorders>
            <w:noWrap/>
            <w:vAlign w:val="center"/>
          </w:tcPr>
          <w:p w14:paraId="7B8AA5A2">
            <w:pPr>
              <w:jc w:val="center"/>
              <w:rPr>
                <w:rFonts w:hint="eastAsia" w:ascii="宋体" w:hAnsi="宋体" w:eastAsia="宋体" w:cs="宋体"/>
                <w:i w:val="0"/>
                <w:iCs w:val="0"/>
                <w:color w:val="000000"/>
                <w:sz w:val="18"/>
                <w:szCs w:val="18"/>
                <w:u w:val="none"/>
              </w:rPr>
            </w:pPr>
          </w:p>
        </w:tc>
      </w:tr>
      <w:tr w14:paraId="07519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2"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37C3746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5A7942B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闭口闪点测定仪</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57B5FDD0">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1台</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53A02A5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可全自动进行试验 ，操控简便，信息直观 ，具备大气压修正及温度补偿功能， 支持不同的点火方式，可自动存储测试结果 ，可显示升温曲线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铂电阻温度探头不少于1个， 配备高精度热电偶进行火焰检测 ， 快速高性能风冷系统，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 闪点测定范围：40～370℃ （104～698℉）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 显示精度：0.1℃ ，重 复 性：≤4℃</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安全性：升温限制安全保护，达到限制温度仪器自动停止并报警，同时自动冷却。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安全保护限制温度：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闪点模式：EFP（预期闪点温度）+20℃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绝对安全保护：400℃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冷却方式：风冷系统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点火气源：液化气/丁烷气/管道煤气/天然气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点火系统：电子点火/气体点火，可切换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点火功率：≤50W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闪点检测：热电偶检测系统  </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00BF835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适用于GB/T 261《闪点的测定 宾斯基-马丁闭口杯法》设计制造，支持后期软件免费升级。随设备附法定计量机构出具的检定校准证书</w:t>
            </w:r>
          </w:p>
        </w:tc>
        <w:tc>
          <w:tcPr>
            <w:tcW w:w="2736" w:type="dxa"/>
            <w:tcBorders>
              <w:top w:val="single" w:color="000000" w:sz="4" w:space="0"/>
              <w:left w:val="single" w:color="000000" w:sz="4" w:space="0"/>
              <w:bottom w:val="single" w:color="000000" w:sz="4" w:space="0"/>
              <w:right w:val="single" w:color="000000" w:sz="4" w:space="0"/>
            </w:tcBorders>
            <w:noWrap/>
            <w:vAlign w:val="center"/>
          </w:tcPr>
          <w:p w14:paraId="01F94624">
            <w:pPr>
              <w:jc w:val="left"/>
              <w:rPr>
                <w:rFonts w:hint="eastAsia" w:ascii="宋体" w:hAnsi="宋体" w:eastAsia="宋体" w:cs="宋体"/>
                <w:i w:val="0"/>
                <w:iCs w:val="0"/>
                <w:color w:val="000000"/>
                <w:sz w:val="18"/>
                <w:szCs w:val="18"/>
                <w:u w:val="none"/>
              </w:rPr>
            </w:pPr>
          </w:p>
        </w:tc>
      </w:tr>
      <w:tr w14:paraId="56973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0"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549209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025541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自动电位滴定仪</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12495FB7">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1台</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782A4919">
            <w:pPr>
              <w:keepNext w:val="0"/>
              <w:keepLines w:val="0"/>
              <w:widowControl/>
              <w:suppressLineNumbers w:val="0"/>
              <w:jc w:val="left"/>
              <w:textAlignment w:val="bottom"/>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 xml:space="preserve">配备电脑，支持动态滴定、等量滴定、预设终点滴定、恒 pH 滴定、空白滴定和手动滴定等多种滴定模式。支持 pH 电极标定，自动识别 GB、DIN、NIST 标液； </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具有公式编辑器功能，直接显示计算结果 。   </w:t>
            </w:r>
            <w:r>
              <w:rPr>
                <w:rFonts w:hint="eastAsia" w:ascii="宋体" w:hAnsi="宋体" w:eastAsia="宋体" w:cs="宋体"/>
                <w:i w:val="0"/>
                <w:iCs w:val="0"/>
                <w:color w:val="000000"/>
                <w:kern w:val="0"/>
                <w:sz w:val="18"/>
                <w:szCs w:val="18"/>
                <w:u w:val="none"/>
                <w:lang w:val="en-US" w:eastAsia="zh-CN" w:bidi="ar"/>
              </w:rPr>
              <w:t xml:space="preserve">                                                自动清洗、自动补液、定值加液，终点自动判断，无需指示剂，滴定结果及数据自动存贮、自动打印（配备打印机），并能提供完整的滴定数据。</w:t>
            </w:r>
          </w:p>
          <w:p w14:paraId="3808A217">
            <w:pPr>
              <w:keepNext w:val="0"/>
              <w:keepLines w:val="0"/>
              <w:widowControl/>
              <w:suppressLineNumbers w:val="0"/>
              <w:jc w:val="left"/>
              <w:textAlignment w:val="bottom"/>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r>
              <w:rPr>
                <w:rFonts w:hint="default" w:ascii="宋体" w:hAnsi="宋体" w:eastAsia="宋体" w:cs="宋体"/>
                <w:i w:val="0"/>
                <w:iCs w:val="0"/>
                <w:color w:val="000000"/>
                <w:kern w:val="0"/>
                <w:sz w:val="18"/>
                <w:szCs w:val="18"/>
                <w:u w:val="none"/>
                <w:lang w:val="en-US" w:eastAsia="zh-CN" w:bidi="ar"/>
              </w:rPr>
              <w:t>滴定装置</w:t>
            </w:r>
            <w:r>
              <w:rPr>
                <w:rFonts w:hint="eastAsia" w:ascii="宋体" w:hAnsi="宋体" w:eastAsia="宋体" w:cs="宋体"/>
                <w:i w:val="0"/>
                <w:iCs w:val="0"/>
                <w:color w:val="000000"/>
                <w:kern w:val="0"/>
                <w:sz w:val="18"/>
                <w:szCs w:val="18"/>
                <w:u w:val="none"/>
                <w:lang w:val="en-US" w:eastAsia="zh-CN" w:bidi="ar"/>
              </w:rPr>
              <w:t>：</w:t>
            </w:r>
          </w:p>
          <w:p w14:paraId="621D9A67">
            <w:pPr>
              <w:keepNext w:val="0"/>
              <w:keepLines w:val="0"/>
              <w:widowControl/>
              <w:suppressLineNumbers w:val="0"/>
              <w:jc w:val="left"/>
              <w:textAlignment w:val="bottom"/>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容量滴定</w:t>
            </w:r>
            <w:r>
              <w:rPr>
                <w:rFonts w:hint="eastAsia" w:ascii="宋体" w:hAnsi="宋体" w:eastAsia="宋体" w:cs="宋体"/>
                <w:i w:val="0"/>
                <w:iCs w:val="0"/>
                <w:color w:val="000000"/>
                <w:kern w:val="0"/>
                <w:sz w:val="18"/>
                <w:szCs w:val="18"/>
                <w:u w:val="none"/>
                <w:lang w:val="en-US" w:eastAsia="zh-CN" w:bidi="ar"/>
              </w:rPr>
              <w:t>：</w:t>
            </w:r>
          </w:p>
          <w:p w14:paraId="618EDD10">
            <w:pPr>
              <w:keepNext w:val="0"/>
              <w:keepLines w:val="0"/>
              <w:widowControl/>
              <w:suppressLineNumbers w:val="0"/>
              <w:jc w:val="left"/>
              <w:textAlignment w:val="bottom"/>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滴定分析重复</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0.20%</w:t>
            </w:r>
          </w:p>
          <w:p w14:paraId="5CB9A858">
            <w:pPr>
              <w:keepNext w:val="0"/>
              <w:keepLines w:val="0"/>
              <w:widowControl/>
              <w:suppressLineNumbers w:val="0"/>
              <w:jc w:val="left"/>
              <w:textAlignment w:val="bottom"/>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滴定容量允许误差</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10mL滴定</w:t>
            </w:r>
            <w:r>
              <w:rPr>
                <w:rFonts w:hint="eastAsia" w:ascii="宋体" w:hAnsi="宋体" w:eastAsia="宋体" w:cs="宋体"/>
                <w:i w:val="0"/>
                <w:iCs w:val="0"/>
                <w:color w:val="000000"/>
                <w:kern w:val="0"/>
                <w:sz w:val="18"/>
                <w:szCs w:val="18"/>
                <w:u w:val="none"/>
                <w:lang w:val="en-US" w:eastAsia="zh-CN" w:bidi="ar"/>
              </w:rPr>
              <w:t>管：</w:t>
            </w:r>
            <w:r>
              <w:rPr>
                <w:rFonts w:hint="default" w:ascii="宋体" w:hAnsi="宋体" w:eastAsia="宋体" w:cs="宋体"/>
                <w:i w:val="0"/>
                <w:iCs w:val="0"/>
                <w:color w:val="000000"/>
                <w:kern w:val="0"/>
                <w:sz w:val="18"/>
                <w:szCs w:val="18"/>
                <w:u w:val="none"/>
                <w:lang w:val="en-US" w:eastAsia="zh-CN" w:bidi="ar"/>
              </w:rPr>
              <w:t>±0.025mL;</w:t>
            </w:r>
          </w:p>
          <w:p w14:paraId="48F164AF">
            <w:pPr>
              <w:keepNext w:val="0"/>
              <w:keepLines w:val="0"/>
              <w:widowControl/>
              <w:suppressLineNumbers w:val="0"/>
              <w:jc w:val="left"/>
              <w:textAlignment w:val="bottom"/>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r>
              <w:rPr>
                <w:rFonts w:hint="default" w:ascii="宋体" w:hAnsi="宋体" w:eastAsia="宋体" w:cs="宋体"/>
                <w:i w:val="0"/>
                <w:iCs w:val="0"/>
                <w:color w:val="000000"/>
                <w:kern w:val="0"/>
                <w:sz w:val="18"/>
                <w:szCs w:val="18"/>
                <w:u w:val="none"/>
                <w:lang w:val="en-US" w:eastAsia="zh-CN" w:bidi="ar"/>
              </w:rPr>
              <w:t>测量装置</w:t>
            </w:r>
            <w:r>
              <w:rPr>
                <w:rFonts w:hint="eastAsia" w:ascii="宋体" w:hAnsi="宋体" w:eastAsia="宋体" w:cs="宋体"/>
                <w:i w:val="0"/>
                <w:iCs w:val="0"/>
                <w:color w:val="000000"/>
                <w:kern w:val="0"/>
                <w:sz w:val="18"/>
                <w:szCs w:val="18"/>
                <w:u w:val="none"/>
                <w:lang w:val="en-US" w:eastAsia="zh-CN" w:bidi="ar"/>
              </w:rPr>
              <w:t>:</w:t>
            </w:r>
          </w:p>
          <w:p w14:paraId="2FDE3421">
            <w:pPr>
              <w:keepNext w:val="0"/>
              <w:keepLines w:val="0"/>
              <w:widowControl/>
              <w:suppressLineNumbers w:val="0"/>
              <w:jc w:val="left"/>
              <w:textAlignment w:val="bottom"/>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r>
              <w:rPr>
                <w:rFonts w:hint="default" w:ascii="宋体" w:hAnsi="宋体" w:eastAsia="宋体" w:cs="宋体"/>
                <w:i w:val="0"/>
                <w:iCs w:val="0"/>
                <w:color w:val="000000"/>
                <w:kern w:val="0"/>
                <w:sz w:val="18"/>
                <w:szCs w:val="18"/>
                <w:u w:val="none"/>
                <w:lang w:val="en-US" w:eastAsia="zh-CN" w:bidi="ar"/>
              </w:rPr>
              <w:t>电位滴定模块</w:t>
            </w:r>
            <w:r>
              <w:rPr>
                <w:rFonts w:hint="eastAsia" w:ascii="宋体" w:hAnsi="宋体" w:eastAsia="宋体" w:cs="宋体"/>
                <w:i w:val="0"/>
                <w:iCs w:val="0"/>
                <w:color w:val="000000"/>
                <w:kern w:val="0"/>
                <w:sz w:val="18"/>
                <w:szCs w:val="18"/>
                <w:u w:val="none"/>
                <w:lang w:val="en-US" w:eastAsia="zh-CN" w:bidi="ar"/>
              </w:rPr>
              <w:t>：</w:t>
            </w:r>
          </w:p>
          <w:p w14:paraId="26E980C4">
            <w:pPr>
              <w:keepNext w:val="0"/>
              <w:keepLines w:val="0"/>
              <w:widowControl/>
              <w:suppressLineNumbers w:val="0"/>
              <w:jc w:val="left"/>
              <w:textAlignment w:val="bottom"/>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测量范</w:t>
            </w:r>
            <w:r>
              <w:rPr>
                <w:rFonts w:hint="eastAsia" w:ascii="宋体" w:hAnsi="宋体" w:eastAsia="宋体" w:cs="宋体"/>
                <w:i w:val="0"/>
                <w:iCs w:val="0"/>
                <w:color w:val="000000"/>
                <w:kern w:val="0"/>
                <w:sz w:val="18"/>
                <w:szCs w:val="18"/>
                <w:u w:val="none"/>
                <w:lang w:val="en-US" w:eastAsia="zh-CN" w:bidi="ar"/>
              </w:rPr>
              <w:t>围:</w:t>
            </w:r>
            <w:r>
              <w:rPr>
                <w:rFonts w:hint="default" w:ascii="宋体" w:hAnsi="宋体" w:eastAsia="宋体" w:cs="宋体"/>
                <w:i w:val="0"/>
                <w:iCs w:val="0"/>
                <w:color w:val="000000"/>
                <w:kern w:val="0"/>
                <w:sz w:val="18"/>
                <w:szCs w:val="18"/>
                <w:u w:val="none"/>
                <w:lang w:val="en-US" w:eastAsia="zh-CN" w:bidi="ar"/>
              </w:rPr>
              <w:t>-2000.0</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2000.0)mV,(-2.000</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20.000)pH</w:t>
            </w:r>
            <w:r>
              <w:rPr>
                <w:rFonts w:hint="eastAsia" w:ascii="宋体" w:hAnsi="宋体" w:eastAsia="宋体" w:cs="宋体"/>
                <w:i w:val="0"/>
                <w:iCs w:val="0"/>
                <w:color w:val="000000"/>
                <w:kern w:val="0"/>
                <w:sz w:val="18"/>
                <w:szCs w:val="18"/>
                <w:u w:val="none"/>
                <w:lang w:val="en-US" w:eastAsia="zh-CN" w:bidi="ar"/>
              </w:rPr>
              <w:t>；</w:t>
            </w:r>
          </w:p>
          <w:p w14:paraId="0DE1A615">
            <w:pPr>
              <w:keepNext w:val="0"/>
              <w:keepLines w:val="0"/>
              <w:widowControl/>
              <w:suppressLineNumbers w:val="0"/>
              <w:jc w:val="left"/>
              <w:textAlignment w:val="bottom"/>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分辨率</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0.1mV,0.001pH</w:t>
            </w:r>
            <w:r>
              <w:rPr>
                <w:rFonts w:hint="eastAsia" w:ascii="宋体" w:hAnsi="宋体" w:eastAsia="宋体" w:cs="宋体"/>
                <w:i w:val="0"/>
                <w:iCs w:val="0"/>
                <w:color w:val="000000"/>
                <w:kern w:val="0"/>
                <w:sz w:val="18"/>
                <w:szCs w:val="18"/>
                <w:u w:val="none"/>
                <w:lang w:val="en-US" w:eastAsia="zh-CN" w:bidi="ar"/>
              </w:rPr>
              <w:t>；</w:t>
            </w:r>
          </w:p>
          <w:p w14:paraId="2F43F164">
            <w:pPr>
              <w:keepNext w:val="0"/>
              <w:keepLines w:val="0"/>
              <w:widowControl/>
              <w:suppressLineNumbers w:val="0"/>
              <w:jc w:val="left"/>
              <w:textAlignment w:val="bottom"/>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电子单元基本误差</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pH:±0.005pH</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mV:±0.05%或±0.3mV</w:t>
            </w:r>
            <w:r>
              <w:rPr>
                <w:rFonts w:hint="eastAsia" w:ascii="宋体" w:hAnsi="宋体" w:eastAsia="宋体" w:cs="宋体"/>
                <w:i w:val="0"/>
                <w:iCs w:val="0"/>
                <w:color w:val="000000"/>
                <w:kern w:val="0"/>
                <w:sz w:val="18"/>
                <w:szCs w:val="18"/>
                <w:u w:val="none"/>
                <w:lang w:val="en-US" w:eastAsia="zh-CN" w:bidi="ar"/>
              </w:rPr>
              <w:t>；</w:t>
            </w:r>
          </w:p>
          <w:p w14:paraId="7DF834EB">
            <w:pPr>
              <w:keepNext w:val="0"/>
              <w:keepLines w:val="0"/>
              <w:widowControl/>
              <w:suppressLineNumbers w:val="0"/>
              <w:jc w:val="left"/>
              <w:textAlignment w:val="bottom"/>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电子单元稳定性</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±0.3mV/3h</w:t>
            </w:r>
            <w:r>
              <w:rPr>
                <w:rFonts w:hint="eastAsia" w:ascii="宋体" w:hAnsi="宋体" w:eastAsia="宋体" w:cs="宋体"/>
                <w:i w:val="0"/>
                <w:iCs w:val="0"/>
                <w:color w:val="000000"/>
                <w:kern w:val="0"/>
                <w:sz w:val="18"/>
                <w:szCs w:val="18"/>
                <w:u w:val="none"/>
                <w:lang w:val="en-US" w:eastAsia="zh-CN" w:bidi="ar"/>
              </w:rPr>
              <w:t>；</w:t>
            </w:r>
          </w:p>
          <w:p w14:paraId="2EA143BA">
            <w:pPr>
              <w:keepNext w:val="0"/>
              <w:keepLines w:val="0"/>
              <w:widowControl/>
              <w:numPr>
                <w:ilvl w:val="0"/>
                <w:numId w:val="4"/>
              </w:numPr>
              <w:suppressLineNumbers w:val="0"/>
              <w:ind w:left="0" w:leftChars="0" w:firstLine="0" w:firstLineChars="0"/>
              <w:jc w:val="left"/>
              <w:textAlignment w:val="bottom"/>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温度补偿</w:t>
            </w:r>
            <w:r>
              <w:rPr>
                <w:rFonts w:hint="eastAsia" w:ascii="宋体" w:hAnsi="宋体" w:eastAsia="宋体" w:cs="宋体"/>
                <w:i w:val="0"/>
                <w:iCs w:val="0"/>
                <w:color w:val="000000"/>
                <w:kern w:val="0"/>
                <w:sz w:val="18"/>
                <w:szCs w:val="18"/>
                <w:u w:val="none"/>
                <w:lang w:val="en-US" w:eastAsia="zh-CN" w:bidi="ar"/>
              </w:rPr>
              <w:t>：</w:t>
            </w:r>
          </w:p>
          <w:p w14:paraId="0FDDDBE2">
            <w:pPr>
              <w:keepNext w:val="0"/>
              <w:keepLines w:val="0"/>
              <w:widowControl/>
              <w:numPr>
                <w:ilvl w:val="0"/>
                <w:numId w:val="0"/>
              </w:numPr>
              <w:suppressLineNumbers w:val="0"/>
              <w:ind w:leftChars="0"/>
              <w:jc w:val="left"/>
              <w:textAlignment w:val="bottom"/>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测量范</w:t>
            </w:r>
            <w:r>
              <w:rPr>
                <w:rFonts w:hint="eastAsia" w:ascii="宋体" w:hAnsi="宋体" w:eastAsia="宋体" w:cs="宋体"/>
                <w:i w:val="0"/>
                <w:iCs w:val="0"/>
                <w:color w:val="000000"/>
                <w:kern w:val="0"/>
                <w:sz w:val="18"/>
                <w:szCs w:val="18"/>
                <w:u w:val="none"/>
                <w:lang w:val="en-US" w:eastAsia="zh-CN" w:bidi="ar"/>
              </w:rPr>
              <w:t>围：</w:t>
            </w:r>
            <w:r>
              <w:rPr>
                <w:rFonts w:hint="default" w:ascii="宋体" w:hAnsi="宋体" w:eastAsia="宋体" w:cs="宋体"/>
                <w:i w:val="0"/>
                <w:iCs w:val="0"/>
                <w:color w:val="000000"/>
                <w:kern w:val="0"/>
                <w:sz w:val="18"/>
                <w:szCs w:val="18"/>
                <w:u w:val="none"/>
                <w:lang w:val="en-US" w:eastAsia="zh-CN" w:bidi="ar"/>
              </w:rPr>
              <w:t>(-5.0</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110.0)℃</w:t>
            </w:r>
            <w:r>
              <w:rPr>
                <w:rFonts w:hint="eastAsia" w:ascii="宋体" w:hAnsi="宋体" w:eastAsia="宋体" w:cs="宋体"/>
                <w:i w:val="0"/>
                <w:iCs w:val="0"/>
                <w:color w:val="000000"/>
                <w:kern w:val="0"/>
                <w:sz w:val="18"/>
                <w:szCs w:val="18"/>
                <w:u w:val="none"/>
                <w:lang w:val="en-US" w:eastAsia="zh-CN" w:bidi="ar"/>
              </w:rPr>
              <w:t>；</w:t>
            </w:r>
          </w:p>
          <w:p w14:paraId="7E5447A6">
            <w:pPr>
              <w:keepNext w:val="0"/>
              <w:keepLines w:val="0"/>
              <w:widowControl/>
              <w:suppressLineNumbers w:val="0"/>
              <w:jc w:val="left"/>
              <w:textAlignment w:val="bottom"/>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分辨率</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0.1℃</w:t>
            </w:r>
            <w:r>
              <w:rPr>
                <w:rFonts w:hint="eastAsia" w:ascii="宋体" w:hAnsi="宋体" w:eastAsia="宋体" w:cs="宋体"/>
                <w:i w:val="0"/>
                <w:iCs w:val="0"/>
                <w:color w:val="000000"/>
                <w:kern w:val="0"/>
                <w:sz w:val="18"/>
                <w:szCs w:val="18"/>
                <w:u w:val="none"/>
                <w:lang w:val="en-US" w:eastAsia="zh-CN" w:bidi="ar"/>
              </w:rPr>
              <w:t>；</w:t>
            </w:r>
          </w:p>
          <w:p w14:paraId="388E60B5">
            <w:pPr>
              <w:keepNext w:val="0"/>
              <w:keepLines w:val="0"/>
              <w:widowControl/>
              <w:suppressLineNumbers w:val="0"/>
              <w:jc w:val="left"/>
              <w:textAlignment w:val="bottom"/>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电子单元基本误差</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±0.2℃</w:t>
            </w:r>
            <w:r>
              <w:rPr>
                <w:rFonts w:hint="eastAsia" w:ascii="宋体" w:hAnsi="宋体" w:eastAsia="宋体" w:cs="宋体"/>
                <w:i w:val="0"/>
                <w:iCs w:val="0"/>
                <w:color w:val="000000"/>
                <w:kern w:val="0"/>
                <w:sz w:val="18"/>
                <w:szCs w:val="18"/>
                <w:u w:val="none"/>
                <w:lang w:val="en-US" w:eastAsia="zh-CN" w:bidi="ar"/>
              </w:rPr>
              <w:t>；</w:t>
            </w:r>
          </w:p>
          <w:p w14:paraId="5F10D2F9">
            <w:pPr>
              <w:keepNext w:val="0"/>
              <w:keepLines w:val="0"/>
              <w:widowControl/>
              <w:suppressLineNumbers w:val="0"/>
              <w:jc w:val="left"/>
              <w:textAlignment w:val="bottom"/>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仪器基本误差</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±0.3℃(0</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60℃);±1.0℃(其它范</w:t>
            </w:r>
            <w:r>
              <w:rPr>
                <w:rFonts w:hint="eastAsia" w:ascii="宋体" w:hAnsi="宋体" w:eastAsia="宋体" w:cs="宋体"/>
                <w:i w:val="0"/>
                <w:iCs w:val="0"/>
                <w:color w:val="000000"/>
                <w:kern w:val="0"/>
                <w:sz w:val="18"/>
                <w:szCs w:val="18"/>
                <w:u w:val="none"/>
                <w:lang w:val="en-US" w:eastAsia="zh-CN" w:bidi="ar"/>
              </w:rPr>
              <w:t>围</w:t>
            </w:r>
            <w:r>
              <w:rPr>
                <w:rFonts w:hint="default" w:ascii="宋体" w:hAnsi="宋体" w:eastAsia="宋体" w:cs="宋体"/>
                <w:i w:val="0"/>
                <w:iCs w:val="0"/>
                <w:color w:val="000000"/>
                <w:kern w:val="0"/>
                <w:sz w:val="18"/>
                <w:szCs w:val="18"/>
                <w:u w:val="none"/>
                <w:lang w:val="en-US" w:eastAsia="zh-CN" w:bidi="ar"/>
              </w:rPr>
              <w:t>)</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370661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适用于GB/T 18609《原油酸值的测定（电位滴定法）》、GB/T 7304-2000《石油产品及润滑剂酸值测定法(电位滴定法)》的标准要求。随设备附法定计量机构出具的检定校准证书</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14:paraId="4AA9C3F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配备相应最新的标准及规范：NB/T 10937-2022 、TSG 11-2020、GB/T 1576-2018、GB/T 34355-2017、GB/T 6904-2008、GB/T 12151-2005、GB/T 601-2016、GB/T 6682-2008、GB/T 6907-2022、GB/T 6913-2023、GB/T 6909-2018、GB/T 14427-2017、GB/T 12157-2022、GB/T 9721-2006、GB/T 50109-2014、GB/T 9740-2008、NB/T 10790-2021、GB/T 12152-2007、GB/T 9724-2007、GB/T 6908-2018、GB/T 14415-2007、GB/T 15453-2018、GB/T 6903-2022、GB/T 29340-2012、DL/T 502.1-2022、NB/T 47034-2021、DL/T 956-2017、GB/T 1631-2008</w:t>
            </w:r>
          </w:p>
        </w:tc>
      </w:tr>
      <w:tr w14:paraId="070B8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80"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51A566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74A8A2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卡氏水分测定仪</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45114562">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1台</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35257DE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检测范围：10ppm-100%(0.001%-100%H2O)                                                       </w:t>
            </w:r>
          </w:p>
          <w:p w14:paraId="29889FE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容量滴定可控精度：0.5uL(20mL计量管)</w:t>
            </w:r>
          </w:p>
          <w:p w14:paraId="1DF5B2D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检测电极：双铂针电极</w:t>
            </w:r>
          </w:p>
          <w:p w14:paraId="6254A1B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计量管体积：不小于10mL计量管；</w:t>
            </w:r>
          </w:p>
          <w:p w14:paraId="3BE4F8F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相对标准偏差：RSD≤0.3%(试剂消耗1500uL)；</w:t>
            </w:r>
          </w:p>
          <w:p w14:paraId="7B2828A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检测方式：自动检测/固定时长检测</w:t>
            </w:r>
          </w:p>
          <w:p w14:paraId="60352A0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测定时长：几十秒到数分钟(自动检测)                                                                                                                                  环境温度：10～45℃(标准25℃）                                                               具有故障自动检测功能。</w:t>
            </w:r>
          </w:p>
          <w:p w14:paraId="7E5483D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仪器带有自动存储数据功能，数据处理：自动存储、自动计算、可统计平均值和相对标准偏差，可存储历史数据，储存数据不可更改。</w:t>
            </w:r>
          </w:p>
          <w:p w14:paraId="27923D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可导出实验数据到电脑或U盘里。可打印结果（配备打印机）</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2E38D0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适用于GB/T1600，GB7600，GB/T6283，GB/T11133，SH/T0246，SH/T0255等方法标准要求，随设备附法定计量机构出具的检定校准证书</w:t>
            </w:r>
          </w:p>
        </w:tc>
        <w:tc>
          <w:tcPr>
            <w:tcW w:w="2736" w:type="dxa"/>
            <w:tcBorders>
              <w:top w:val="single" w:color="000000" w:sz="4" w:space="0"/>
              <w:left w:val="single" w:color="000000" w:sz="4" w:space="0"/>
              <w:bottom w:val="single" w:color="000000" w:sz="4" w:space="0"/>
              <w:right w:val="single" w:color="000000" w:sz="4" w:space="0"/>
            </w:tcBorders>
            <w:noWrap/>
            <w:vAlign w:val="center"/>
          </w:tcPr>
          <w:p w14:paraId="466AB9F7">
            <w:pPr>
              <w:jc w:val="center"/>
              <w:rPr>
                <w:rFonts w:hint="eastAsia" w:ascii="宋体" w:hAnsi="宋体" w:eastAsia="宋体" w:cs="宋体"/>
                <w:i w:val="0"/>
                <w:iCs w:val="0"/>
                <w:color w:val="000000"/>
                <w:sz w:val="18"/>
                <w:szCs w:val="18"/>
                <w:u w:val="none"/>
              </w:rPr>
            </w:pPr>
          </w:p>
        </w:tc>
      </w:tr>
      <w:tr w14:paraId="4A850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0"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0873CE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4B1852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蒸馏仪</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35D703FA">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1台</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2071745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测温范围：0～400℃ 分辨率：0.1℃。</w:t>
            </w:r>
          </w:p>
          <w:p w14:paraId="5B3786E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体积检测范围：0～105ml 分辨率:0.1ml，精度：±0.02ml</w:t>
            </w:r>
          </w:p>
          <w:p w14:paraId="25ED096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冷浴恒温范围：0～60℃，控温精度：±0.5℃</w:t>
            </w:r>
          </w:p>
          <w:p w14:paraId="2A05096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蒸馏速率：2～10ml/min自动控制                                                                仪器具备自动升降蒸馏烧瓶支板功能，自动判断三种支板孔径：φ32，φ38，φ50，并提示是否错误等功能</w:t>
            </w:r>
          </w:p>
          <w:p w14:paraId="4F1113F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根据馏出速度自动调节加热功率</w:t>
            </w:r>
          </w:p>
          <w:p w14:paraId="276B042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测温元件：PT100</w:t>
            </w:r>
          </w:p>
          <w:p w14:paraId="120469E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液滴检测：高精度非可见光检测传感器检测系统</w:t>
            </w:r>
          </w:p>
          <w:p w14:paraId="2458098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液位检测：高精度非可见光检测传感器高精密液位跟踪系统</w:t>
            </w:r>
          </w:p>
          <w:p w14:paraId="125ABA9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加热方式：红外线辐射加热                                                                       测量单元：不少于2个</w:t>
            </w:r>
          </w:p>
          <w:p w14:paraId="2C95EFB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回收室控温范围：0℃～室温，控温精度：±1℃</w:t>
            </w:r>
          </w:p>
          <w:p w14:paraId="6371411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测量值显示分辨率，0.1℃和0.1%回收率</w:t>
            </w:r>
          </w:p>
          <w:p w14:paraId="4FAC3A4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相邻两次测定的时间间隔：≤15min</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23E51A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适用于GB/T 6536-2010 《石油产品常压蒸馏特性测定法》的标准要求；随设备附法定计量机构出具的检定校准证书</w:t>
            </w:r>
          </w:p>
        </w:tc>
        <w:tc>
          <w:tcPr>
            <w:tcW w:w="2736" w:type="dxa"/>
            <w:tcBorders>
              <w:top w:val="single" w:color="000000" w:sz="4" w:space="0"/>
              <w:left w:val="single" w:color="000000" w:sz="4" w:space="0"/>
              <w:bottom w:val="single" w:color="000000" w:sz="4" w:space="0"/>
              <w:right w:val="single" w:color="000000" w:sz="4" w:space="0"/>
            </w:tcBorders>
            <w:noWrap/>
            <w:vAlign w:val="center"/>
          </w:tcPr>
          <w:p w14:paraId="0FCB5190">
            <w:pPr>
              <w:jc w:val="center"/>
              <w:rPr>
                <w:rFonts w:hint="eastAsia" w:ascii="宋体" w:hAnsi="宋体" w:eastAsia="宋体" w:cs="宋体"/>
                <w:i w:val="0"/>
                <w:iCs w:val="0"/>
                <w:color w:val="000000"/>
                <w:sz w:val="18"/>
                <w:szCs w:val="18"/>
                <w:u w:val="none"/>
              </w:rPr>
            </w:pPr>
          </w:p>
        </w:tc>
      </w:tr>
      <w:tr w14:paraId="317B1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3"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5A1E88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422F09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宽钳口数显游标卡尺</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3B080BC2">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4把</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5F31DEE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量程：0-300mm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量面：30*20mm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分度值：0.01mm</w:t>
            </w:r>
          </w:p>
          <w:p w14:paraId="155D816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0533D7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随设备附法定计量机构出具的检定校准证书</w:t>
            </w:r>
          </w:p>
        </w:tc>
        <w:tc>
          <w:tcPr>
            <w:tcW w:w="2736" w:type="dxa"/>
            <w:tcBorders>
              <w:top w:val="single" w:color="000000" w:sz="4" w:space="0"/>
              <w:left w:val="single" w:color="000000" w:sz="4" w:space="0"/>
              <w:bottom w:val="single" w:color="000000" w:sz="4" w:space="0"/>
              <w:right w:val="single" w:color="000000" w:sz="4" w:space="0"/>
            </w:tcBorders>
            <w:noWrap/>
            <w:vAlign w:val="center"/>
          </w:tcPr>
          <w:p w14:paraId="20187448">
            <w:pPr>
              <w:jc w:val="center"/>
              <w:rPr>
                <w:rFonts w:hint="eastAsia" w:ascii="宋体" w:hAnsi="宋体" w:eastAsia="宋体" w:cs="宋体"/>
                <w:i w:val="0"/>
                <w:iCs w:val="0"/>
                <w:color w:val="000000"/>
                <w:sz w:val="18"/>
                <w:szCs w:val="18"/>
                <w:u w:val="none"/>
              </w:rPr>
            </w:pPr>
          </w:p>
        </w:tc>
      </w:tr>
      <w:tr w14:paraId="4082D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9"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08A224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6F3B9D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厂车综合检验仪</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62940099">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1台</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1F5827B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至少配备相应的软件，能够测定：方向盘转向力测试、方向盘自由转动量测试、踏板操作力测试、手刹操作力测试、坡度、制停距离、门架倾角、自然下滑量、噪声侧滑量，以上性能参数测试装备均有单独的铭牌。能够打印结果。                                                         动态坡度检测：                                                                        测量主机可实时读取海拔高度，采用GPS移动终端，实时的分析测量路段的超标信息并实时显示超标坡度路段的位置及坡度信息，直观的显示出测量路段的坡度变化趋势。</w:t>
            </w:r>
          </w:p>
          <w:p w14:paraId="4AE8CE5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位移测量精度：不大于5mm,测量开始无需进行校准；可自动过滤短坡，可实时显示高度、行进距离；测量结果可在地图中查看。软件自动分析坡度，计算最大坡度、最小坡度及平均坡度，并对超标路段在地图上标注出；                                                                                                                动态坡度检测：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1、位移测量范围：0-5km ； 2、位移测量精度：0.5m ；3、坡度测量范围：-60% ~﹢60%；4、坡度测量精度：≤0.5%；</w:t>
            </w:r>
          </w:p>
          <w:p w14:paraId="0FCDFF7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转向参数测试：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1、力值范围：0-500N；2、力值精度：≤1%；3、转动量测量范围：0-1800°；4、转动量测量精度：0.1°；5、旋转速度：≤60°/s；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门架倾角及下滑量检测：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1、角度范围：-30°～＋30°；2、角度精度：0.1°；3、角度分辨率：0.1°；4、距离范伟范围：0-5m；5、距离精度：1mm；6、距离分辨率：0.1mm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制停距离检测：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1、速度测量范围：0-50km/h ；2、速度测量精度：0.1km/h；3、加速度范围：±3g；4、加速度精度：5mg；</w:t>
            </w:r>
          </w:p>
          <w:p w14:paraId="140AE16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踏板力测量：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1、力值范围：0-1000N；2、力值精度：≤1%；3、力值分辨率：0.1N；4、绑带适用范围：35-150mm；</w:t>
            </w:r>
          </w:p>
          <w:p w14:paraId="09BB54C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手刹力测量：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1、力值范围：0-500N；2、力值精度：≤1%；3、力值分辨率：0.1N；4、绑带适用范围：直径0-45mm；</w:t>
            </w:r>
          </w:p>
          <w:p w14:paraId="139C01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噪声检测模块：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1、噪声测量范围：30-130dB；2、噪音测量精度：＜ 0.1dB；</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1FFAAF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适用于TSG 81-2022《场（厂）内专用机动车辆安全技术规程》的检验要求。随设备附法定计量机构出具的检定校准证书</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14:paraId="32B1237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配备相应最新的标准及规范：TSG81-2022、GB/T 6104.1-2018、GB/T 6104-2005、GB/T 26560-2011、GB/T 10827.1-2014、GB/T 26949.1-2020 、JB/T 3300-2010 、JB/T 2391-2017、JB/T 3244-2005、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JB/T 3340-2005 、JB/T 3341-2005 、JB/T 9012-2011 、JB/T 11037-2010、GB/T 5182-2008 、GB/T 26562-2011 、GB/T 5143-2008 、GB/T 18849-2023 、GB/T27544-2011、GB/T   38893-2020、GB/T 19854-2018 、GB/T 21268-2014、GB/T 38433-2019、GB 7258-2017、GB/T 42611-2023、GB/T 4208-2017、GB/T 8170-2008</w:t>
            </w:r>
          </w:p>
        </w:tc>
      </w:tr>
      <w:tr w14:paraId="1108C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4"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243289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7BBBE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漆膜仪</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4EF46EF1">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2台</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30DF511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探头类型：F（磁性）；自动识别且同时匹配 F0.5 NO.5 F1.2 N1.2 F3 F5 F10 等多种探头。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测量原理：磁感应；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测量范围：0~ 10000µm；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数据报告：柱状图；测量过程中的图片、数据、日期等信息以报告的形式汇总分析；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使用温度：相对湿度：≤90%；温度：-10℃~+40℃；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工作时间：≥7小时（最小背光亮度下）；                                              智能涂层检测，内置前后双摄像头，可拍摄照片或录制视频记录整个检测过程</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6DBF46DC">
            <w:pPr>
              <w:pStyle w:val="2"/>
              <w:keepNext w:val="0"/>
              <w:keepLines w:val="0"/>
              <w:widowControl/>
              <w:suppressLineNumbers w:val="0"/>
              <w:shd w:val="clear" w:color="auto" w:fill="FFFFFF"/>
              <w:ind w:left="0" w:firstLine="0"/>
              <w:rPr>
                <w:rFonts w:hint="eastAsia" w:ascii="宋体" w:hAnsi="宋体" w:eastAsia="宋体" w:cs="宋体"/>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适用于GB/T 4956─2003《</w:t>
            </w:r>
            <w:r>
              <w:rPr>
                <w:rFonts w:hint="default" w:ascii="宋体" w:hAnsi="宋体" w:eastAsia="宋体" w:cs="宋体"/>
                <w:b w:val="0"/>
                <w:bCs w:val="0"/>
                <w:i w:val="0"/>
                <w:iCs w:val="0"/>
                <w:color w:val="000000"/>
                <w:kern w:val="0"/>
                <w:sz w:val="18"/>
                <w:szCs w:val="18"/>
                <w:u w:val="none"/>
                <w:lang w:val="en-US" w:eastAsia="zh-CN" w:bidi="ar"/>
              </w:rPr>
              <w:t>磁性基体上非磁性覆盖层 覆盖层厚度测量 磁性法</w:t>
            </w:r>
            <w:r>
              <w:rPr>
                <w:rFonts w:hint="eastAsia" w:ascii="宋体" w:hAnsi="宋体" w:eastAsia="宋体" w:cs="宋体"/>
                <w:b w:val="0"/>
                <w:bCs w:val="0"/>
                <w:i w:val="0"/>
                <w:iCs w:val="0"/>
                <w:color w:val="000000"/>
                <w:kern w:val="0"/>
                <w:sz w:val="18"/>
                <w:szCs w:val="18"/>
                <w:u w:val="none"/>
                <w:lang w:val="en-US" w:eastAsia="zh-CN" w:bidi="ar"/>
              </w:rPr>
              <w:t>》的要求。随设备附法定计量机构出具的检定校准证书</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14:paraId="60CAD46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配备相应最新的标准及规范：GB/T 5099.1-2017、GB/T 5099.3-2017、GB/T 5100-2020、GB/T 11640-2021、GB 5842-2023、GB/T 11638-2020、GB/T 17258-2022、GB/T 24159-2022、GB/T 17259-2009、GB/T 24160-2022、GB/T 28053-2023、GB/T 34510-2017、GB/T 35544-2017、GB/T 16163-2012、GB/T 7144-2016、GB/T 13005-2011、GB/T 12135-2016、GB/T 9251-2022、GB/T 12137-2015、GB/T 18443.5-2010、GB/T 15382-2021、GB 7512-2023、GB/T 13004-2016、GB/T 13075-2016、GB/T 13077-2024、GB/T 8334-2022、GB/T 13076-2009、GB/T 19533-2024、GB/T 34347-2017、GB/T 20561-2006、GB/T 24161-2009、GB/T 24162-2022、GB/T 34531-2017</w:t>
            </w:r>
          </w:p>
        </w:tc>
      </w:tr>
      <w:tr w14:paraId="27C35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10"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437B71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118486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高温测厚仪</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4CC24041">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1台</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366049C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测量范围：1mm-600mm；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检测温度： 高温探头-150℃~800℃；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最大提离（传感器与检测对象之间的工作间隙）：4mm ，防锈膜、盐沉积物或任何其他绝缘涂层（油漆、清漆、搪瓷、塑料等）都可以作为操作间隙；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操作换能器的倾斜角度：±25度；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声波声速的调节范围：1000-9999m/s；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接收增益范围：0-100dB；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可检测工件的最小曲率范围：5mm；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声波类型：剪切波（横波）；数据报告：图表、图片、柱状图；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励磁方式为永磁铁，Br小于2000Gs;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波形显示方式包括：全波、半波、射频波（软件中可快速节）；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测量精度：0.01mm。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非导电涂层的厚度测量范围：0～5mm。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非导电涂层厚度的测量误差：0.1mm±3%。</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检出直径5mm以上平底孔缺陷，并显示准确数值。                                            配4个备用原装高温探头</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6C0D43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随设备附法定计量机构出具的检定校准证书</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14:paraId="7485DD2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配备相应最新的标准及规范：TSG 21-2016、TSG R0005-2011、TSG 23－2021、TSG 08-2017、TSG Z8002-2022、TSG Z6002-2010、TSG 07-2019、TSG 24-2015、GB/T 150.1～4-2024、GB/T 4732.1～6-2024、GB/T 151—2014、NB/T 47041—2014、NB/T 47042—2014、GB/T 12337-2014、GB 50094-2010、NB/T47012-2020、NB/T 11270-2023、NB/T 47052-2016、GB/T 18442.1～6-2019，GB/T 18442.7-2017、GB/T 25198-2023、NB/T 47014-2023、NB/T 47015-2023、NB/T 47016-2023、GB/T 30583-2014、NB/T 47013-2015、GB/T 30579-2022、GB/T 713.1～7-2023、NB/T 47008-2017、NB/T 47009-2017、NB/T 47010-2017、NB/T 47018.1～47018.3-2017，NB/T 47018.4-2022，NB/T 47018.5-2017，NB/T 47018.6～47018.7-2022</w:t>
            </w:r>
          </w:p>
        </w:tc>
      </w:tr>
      <w:tr w14:paraId="68C0F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8"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2441B7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0B3AE2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可燃气体分析仪/报警仪</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71DF6EDD">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2台</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773CDE7E">
            <w:pPr>
              <w:keepNext w:val="0"/>
              <w:keepLines w:val="0"/>
              <w:widowControl/>
              <w:suppressLineNumbers w:val="0"/>
              <w:spacing w:after="200" w:afterAutospacing="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本安防爆防尘防水，抗静电、电磁干扰，防尘防水，至少测硫化氢H2S、一氧化碳CO、可燃气体Ex、氧气O2等4种可燃气体组合，配：温湿度、压力测量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测量范围不低于：H2S：0-100ppm，0.01ppm；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CO：0-1000ppm，0.1ppm；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Ex：0-100%LEL，0.1%LEL；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O2：0-30%VOL，0.01%VOL；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T90≤30秒 恢复时间 ≤30秒；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检测范围： 0-100%LEL；内置泵吸式，流量500毫升/分钟；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报警方式 ：声光报警、振动报警、具有漏电感应报警功能；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报警音量：90～120 分贝。</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防护等级：≥IP65。</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6D8826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随设备附法定计量机构出具的检定校准证书</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14:paraId="0931EBB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配备相应最新的标准及规范：TSG D0001-2009、TSG   D7002-2023、TSG D7006-2020、TSG 08-2017、TSG D7005-2018、TSG D7003-2022、TSG Z6002-2010、TSG 07-2019、GB/T 20801-2020、GB 50316-2000（2008年版）、GB 50235-2010、GB 50184-2011、GB 50236-2011、GB 50683-2011、SH/T 3501-2021、NB/T 47013.1～47013.2-2015、NB/T 47013.3-2023、NB/T 47013.4～47013.5-2015、NB/T 47013.15-2021、GB/T 30579-2022、GB 50028-2006（2020年版）、GB/T 38942-2020、GB/T 51455-2023、CJJ 63-2018、CJJ 34-2022、CJJ 28-2014、GB 50251-2015、GB 50253-2014、SY/T 6151-2022、GB 50369-2014、GB/T 19285-2014、GB/T 30582-2014、GB/T 27512-2011、GB 32167-2015、GB/T 27699-2023、GB/T 34349-2017、GB/T 34350-2017、GB/T 36676-2018、GB/T 37369-2019、SY/T   4109-2020、GB/T   34275-2024、NB/T 47014-2023、NB/T 47018.1～47018.3-2017、NB/T 47018.4-2022、GB/T 31032-2023</w:t>
            </w:r>
          </w:p>
        </w:tc>
      </w:tr>
      <w:tr w14:paraId="13FBC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0"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58A401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11C998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黑度计</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0CD12ABC">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1个</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3607172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测量密度范围：0～5.0D；</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测量区域：ф2mm（光孔直径）；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重复性误差：±0.03D；</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测量误差：(0.00D～3.00D)±0.03D；(3.00D～4.00D)±0.04D；(4.00D～5.00D)±0.05D。</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使用环境：0～40℃，相对湿度≤85%                                                                                         读数稳定度:     ±0.02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采样时间:    不大于0.5s</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34E63B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随设备附法定计量机构出具的检定校准证书</w:t>
            </w:r>
          </w:p>
        </w:tc>
        <w:tc>
          <w:tcPr>
            <w:tcW w:w="2736" w:type="dxa"/>
            <w:tcBorders>
              <w:top w:val="single" w:color="000000" w:sz="4" w:space="0"/>
              <w:left w:val="single" w:color="000000" w:sz="4" w:space="0"/>
              <w:bottom w:val="single" w:color="000000" w:sz="4" w:space="0"/>
              <w:right w:val="single" w:color="000000" w:sz="4" w:space="0"/>
            </w:tcBorders>
            <w:noWrap/>
            <w:vAlign w:val="center"/>
          </w:tcPr>
          <w:p w14:paraId="7682298B">
            <w:pPr>
              <w:jc w:val="center"/>
              <w:rPr>
                <w:rFonts w:hint="eastAsia" w:ascii="宋体" w:hAnsi="宋体" w:eastAsia="宋体" w:cs="宋体"/>
                <w:i w:val="0"/>
                <w:iCs w:val="0"/>
                <w:color w:val="000000"/>
                <w:sz w:val="18"/>
                <w:szCs w:val="18"/>
                <w:u w:val="none"/>
              </w:rPr>
            </w:pPr>
          </w:p>
        </w:tc>
      </w:tr>
      <w:tr w14:paraId="5C775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0EC8D6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54F3FB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超声波测厚仪</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544BC6BF">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2台</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488E1ED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测量范围 0.65mm-500mm；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显示分辨率 0.01mm 或 0.1mm（100.0mm 以下）0.1mm（99.99mm 以上）；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测量误差：低精度：H&lt;10mm，±0.1mm；H&gt;=10mm  ±(0.1+H/100)；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高精度：H&lt;10mm，±0.05mm；H&gt;=10mm  ±(0.01+H/200)（H为测量的厚度值）；</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管材测量下限 Φ20mmm×3.0mm(5MHz 探头)； Φ15mm×2.0mm(7MHz 探头)；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示值误差：不超过 0.1mm；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声速调节范围 1000m/s-9999m/s；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声速测量范围 1000m/s～9999m/s；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试块厚度 20mm 时，声速测量精度为 5%                                                    数据报告：图表、图片、柱状图；                                                                                                   配探头：PT-10探头(0.8~200mm); 钢：2.0~130mm，最大可穿透10mm厚涂层；                  每种探头各配备2个</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4E87FA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随设备附法定计量机构出具的检定校准证书</w:t>
            </w:r>
          </w:p>
        </w:tc>
        <w:tc>
          <w:tcPr>
            <w:tcW w:w="2736" w:type="dxa"/>
            <w:tcBorders>
              <w:top w:val="single" w:color="000000" w:sz="4" w:space="0"/>
              <w:left w:val="single" w:color="000000" w:sz="4" w:space="0"/>
              <w:bottom w:val="single" w:color="000000" w:sz="4" w:space="0"/>
              <w:right w:val="single" w:color="000000" w:sz="4" w:space="0"/>
            </w:tcBorders>
            <w:noWrap/>
            <w:vAlign w:val="center"/>
          </w:tcPr>
          <w:p w14:paraId="2530E390">
            <w:pPr>
              <w:jc w:val="center"/>
              <w:rPr>
                <w:rFonts w:hint="eastAsia" w:ascii="宋体" w:hAnsi="宋体" w:eastAsia="宋体" w:cs="宋体"/>
                <w:i w:val="0"/>
                <w:iCs w:val="0"/>
                <w:color w:val="000000"/>
                <w:sz w:val="18"/>
                <w:szCs w:val="18"/>
                <w:u w:val="none"/>
              </w:rPr>
            </w:pPr>
          </w:p>
        </w:tc>
      </w:tr>
      <w:tr w14:paraId="1D47A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1"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293CDB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553AEB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车用气瓶水压试验机用标准瓶</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1DD2D314">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1个</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2DE0DB5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该气瓶主要用于车用气瓶水压试验机标定，标准瓶的标定数据应能满足受试瓶的试验需求，至少三种压力等级，并附有清晰辨认的标定证书及标签。该气瓶应为标准用瓶，适用于GB/T 35015-2018要求。                                                                         标定合格的标准瓶应在筒体中部喷涂“标准瓶”字样，字色为白色，字体采用仿宋字，字体高度一般为80mm-100mm，或可根据标准瓶规格适当调整。                                                                    标准瓶容积不小于80L</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017EF740">
            <w:pPr>
              <w:pStyle w:val="2"/>
              <w:keepNext w:val="0"/>
              <w:keepLines w:val="0"/>
              <w:widowControl/>
              <w:suppressLineNumbers w:val="0"/>
              <w:shd w:val="clear" w:color="auto" w:fill="FFFFFF"/>
              <w:ind w:left="0" w:firstLine="0"/>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适用于GB/T 35015-2018《</w:t>
            </w:r>
            <w:r>
              <w:rPr>
                <w:rFonts w:hint="default" w:ascii="宋体" w:hAnsi="宋体" w:eastAsia="宋体" w:cs="宋体"/>
                <w:b w:val="0"/>
                <w:bCs w:val="0"/>
                <w:i w:val="0"/>
                <w:iCs w:val="0"/>
                <w:color w:val="000000"/>
                <w:kern w:val="0"/>
                <w:sz w:val="18"/>
                <w:szCs w:val="18"/>
                <w:u w:val="none"/>
                <w:lang w:val="en-US" w:eastAsia="zh-CN" w:bidi="ar"/>
              </w:rPr>
              <w:t>气瓶外测法水压试验用标准瓶的标定方法</w:t>
            </w:r>
            <w:r>
              <w:rPr>
                <w:rFonts w:hint="eastAsia" w:ascii="宋体" w:hAnsi="宋体" w:eastAsia="宋体" w:cs="宋体"/>
                <w:b w:val="0"/>
                <w:bCs w:val="0"/>
                <w:i w:val="0"/>
                <w:iCs w:val="0"/>
                <w:color w:val="000000"/>
                <w:kern w:val="0"/>
                <w:sz w:val="18"/>
                <w:szCs w:val="18"/>
                <w:u w:val="none"/>
                <w:lang w:val="en-US" w:eastAsia="zh-CN" w:bidi="ar"/>
              </w:rPr>
              <w:t>》的要求，配带在有效期内的检验报告、参数表、产品合格证，气瓶生产日期为近1年内。</w:t>
            </w:r>
          </w:p>
        </w:tc>
        <w:tc>
          <w:tcPr>
            <w:tcW w:w="2736" w:type="dxa"/>
            <w:tcBorders>
              <w:top w:val="single" w:color="000000" w:sz="4" w:space="0"/>
              <w:left w:val="single" w:color="000000" w:sz="4" w:space="0"/>
              <w:bottom w:val="single" w:color="000000" w:sz="4" w:space="0"/>
              <w:right w:val="single" w:color="000000" w:sz="4" w:space="0"/>
            </w:tcBorders>
            <w:noWrap/>
            <w:vAlign w:val="center"/>
          </w:tcPr>
          <w:p w14:paraId="5DD67158">
            <w:pPr>
              <w:jc w:val="both"/>
              <w:rPr>
                <w:rFonts w:hint="eastAsia" w:ascii="宋体" w:hAnsi="宋体" w:eastAsia="宋体" w:cs="宋体"/>
                <w:i w:val="0"/>
                <w:iCs w:val="0"/>
                <w:color w:val="000000"/>
                <w:sz w:val="18"/>
                <w:szCs w:val="18"/>
                <w:u w:val="none"/>
              </w:rPr>
            </w:pPr>
          </w:p>
        </w:tc>
      </w:tr>
      <w:tr w14:paraId="207B4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8"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1542D8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66BA73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车用气瓶水压试验机用水套</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085DF8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1台</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672775B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该装置用于车用气瓶水压试验，该专用水套为不锈钢或其他耐腐蚀的金属材料制成，具有一定的刚度，确保其在水压试验时不产生容积变化。水套尺寸应能保证气瓶自由膨胀。专用水套及其密封盖应设计成防泄漏和防存气的结构。水套下部应设置足够大的安全泄放口或采用其他泄放措施，当气瓶突然破裂时能安全泄放高压水。该水套能配合QSW-II型气瓶外侧法水压试验测试系统一起使用，水套在合适位置配备水温测量仪表。                                                                     测试方法：外测法                                                                      试验介质：水                                                                                                                                                                                              水套内高度不小于2.5米（适用于车用天然气缠绕气瓶，容积215L-406型双封头）                         内径直径不小于500mm                                                                 水套配备水套盖，水套盖密封为气动气囊密封（气囊为通用气囊）（配备4个备用通用密封气囊）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水套盖配备适合气瓶瓶口密封使用的装置（如旋转提拉，可配备备用密封皮垫不少于50个）；</w:t>
            </w:r>
          </w:p>
          <w:p w14:paraId="241D394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气囊控制装置可为自动或手动                                                                               </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15B0DD4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适用于GB/T 9251-2022《气瓶水压试验方法》的要求。</w:t>
            </w:r>
          </w:p>
        </w:tc>
        <w:tc>
          <w:tcPr>
            <w:tcW w:w="2736" w:type="dxa"/>
            <w:tcBorders>
              <w:top w:val="single" w:color="000000" w:sz="4" w:space="0"/>
              <w:left w:val="single" w:color="000000" w:sz="4" w:space="0"/>
              <w:bottom w:val="single" w:color="000000" w:sz="4" w:space="0"/>
              <w:right w:val="single" w:color="000000" w:sz="4" w:space="0"/>
            </w:tcBorders>
            <w:noWrap/>
            <w:vAlign w:val="center"/>
          </w:tcPr>
          <w:p w14:paraId="283F97C1">
            <w:pPr>
              <w:jc w:val="center"/>
              <w:rPr>
                <w:rFonts w:hint="eastAsia" w:ascii="宋体" w:hAnsi="宋体" w:eastAsia="宋体" w:cs="宋体"/>
                <w:i w:val="0"/>
                <w:iCs w:val="0"/>
                <w:color w:val="000000"/>
                <w:sz w:val="18"/>
                <w:szCs w:val="18"/>
                <w:u w:val="none"/>
              </w:rPr>
            </w:pPr>
          </w:p>
        </w:tc>
      </w:tr>
      <w:tr w14:paraId="7F3B8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1CB260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04040D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车用气瓶残气回收装置</w:t>
            </w:r>
          </w:p>
        </w:tc>
        <w:tc>
          <w:tcPr>
            <w:tcW w:w="648" w:type="dxa"/>
            <w:tcBorders>
              <w:top w:val="single" w:color="000000" w:sz="4" w:space="0"/>
              <w:left w:val="single" w:color="000000" w:sz="4" w:space="0"/>
              <w:bottom w:val="single" w:color="000000" w:sz="4" w:space="0"/>
              <w:right w:val="single" w:color="000000" w:sz="4" w:space="0"/>
            </w:tcBorders>
            <w:noWrap/>
            <w:vAlign w:val="center"/>
          </w:tcPr>
          <w:p w14:paraId="4273528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1套</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51B1E49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该装置用于车用气瓶天然气残气回收，配备适用的连接装置，将汇流排中的气体导入气瓶瓶组或容器，配备合适的电磁阀或单向阀，保证气体从待检气瓶中流入存储容器而不返流。该装置配备可移动滑轮，保证装置可移动。                                                       总容积：不小于450L（可使用瓶组或容器等）；                                                                 气瓶公称工作压力为20MPa；                                                            配备抽残气装置，如抽气泵；                                                           配备超压报警装置、超压泄放装置                                                       配备压力显示装置；                                                                   配备气体导出口，导出管线不少于10米                                                             </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332CBC1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如使用瓶组，气瓶需提供每只产品合格证、有效期内的检验报告或提供压力容器相关材料。随设备附带泄压装置校验证书，其他附属设备需提供合格证。</w:t>
            </w:r>
          </w:p>
        </w:tc>
        <w:tc>
          <w:tcPr>
            <w:tcW w:w="2736" w:type="dxa"/>
            <w:tcBorders>
              <w:top w:val="single" w:color="000000" w:sz="4" w:space="0"/>
              <w:left w:val="single" w:color="000000" w:sz="4" w:space="0"/>
              <w:bottom w:val="single" w:color="000000" w:sz="4" w:space="0"/>
              <w:right w:val="single" w:color="000000" w:sz="4" w:space="0"/>
            </w:tcBorders>
            <w:noWrap/>
            <w:vAlign w:val="center"/>
          </w:tcPr>
          <w:p w14:paraId="0300EFC3">
            <w:pPr>
              <w:jc w:val="center"/>
              <w:rPr>
                <w:rFonts w:hint="eastAsia" w:ascii="宋体" w:hAnsi="宋体" w:eastAsia="宋体" w:cs="宋体"/>
                <w:i w:val="0"/>
                <w:iCs w:val="0"/>
                <w:color w:val="000000"/>
                <w:sz w:val="18"/>
                <w:szCs w:val="18"/>
                <w:u w:val="none"/>
              </w:rPr>
            </w:pPr>
          </w:p>
        </w:tc>
      </w:tr>
      <w:tr w14:paraId="3A60B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8"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2DD1E7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972" w:type="dxa"/>
            <w:tcBorders>
              <w:top w:val="single" w:color="000000" w:sz="4" w:space="0"/>
              <w:left w:val="single" w:color="000000" w:sz="4" w:space="0"/>
              <w:bottom w:val="single" w:color="000000" w:sz="4" w:space="0"/>
              <w:right w:val="single" w:color="000000" w:sz="4" w:space="0"/>
            </w:tcBorders>
            <w:noWrap w:val="0"/>
            <w:vAlign w:val="center"/>
          </w:tcPr>
          <w:p w14:paraId="31183F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耐震压力表</w:t>
            </w:r>
          </w:p>
        </w:tc>
        <w:tc>
          <w:tcPr>
            <w:tcW w:w="648" w:type="dxa"/>
            <w:tcBorders>
              <w:top w:val="single" w:color="000000" w:sz="4" w:space="0"/>
              <w:left w:val="single" w:color="000000" w:sz="4" w:space="0"/>
              <w:bottom w:val="single" w:color="000000" w:sz="4" w:space="0"/>
              <w:right w:val="single" w:color="000000" w:sz="4" w:space="0"/>
            </w:tcBorders>
            <w:noWrap w:val="0"/>
            <w:vAlign w:val="center"/>
          </w:tcPr>
          <w:p w14:paraId="395A1958">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2个</w:t>
            </w:r>
          </w:p>
        </w:tc>
        <w:tc>
          <w:tcPr>
            <w:tcW w:w="3984" w:type="dxa"/>
            <w:tcBorders>
              <w:top w:val="single" w:color="000000" w:sz="4" w:space="0"/>
              <w:left w:val="single" w:color="000000" w:sz="4" w:space="0"/>
              <w:bottom w:val="single" w:color="000000" w:sz="4" w:space="0"/>
              <w:right w:val="single" w:color="000000" w:sz="4" w:space="0"/>
            </w:tcBorders>
            <w:noWrap w:val="0"/>
            <w:vAlign w:val="center"/>
          </w:tcPr>
          <w:p w14:paraId="5F05A01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表盘直径160mm，量程0-60MPa，螺接口表背后，精度1.6</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3EC1A3B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随设备附带检定或校验证书，产品合格证。</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14:paraId="7D4ECF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14:paraId="37E00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6" w:hRule="atLeast"/>
        </w:trPr>
        <w:tc>
          <w:tcPr>
            <w:tcW w:w="597" w:type="dxa"/>
            <w:tcBorders>
              <w:top w:val="nil"/>
              <w:left w:val="single" w:color="000000" w:sz="4" w:space="0"/>
              <w:bottom w:val="single" w:color="000000" w:sz="4" w:space="0"/>
              <w:right w:val="single" w:color="000000" w:sz="4" w:space="0"/>
            </w:tcBorders>
            <w:noWrap/>
            <w:vAlign w:val="center"/>
          </w:tcPr>
          <w:p w14:paraId="30B6AD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972" w:type="dxa"/>
            <w:tcBorders>
              <w:top w:val="nil"/>
              <w:left w:val="single" w:color="000000" w:sz="8" w:space="0"/>
              <w:bottom w:val="single" w:color="000000" w:sz="8" w:space="0"/>
              <w:right w:val="single" w:color="000000" w:sz="8" w:space="0"/>
            </w:tcBorders>
            <w:noWrap w:val="0"/>
            <w:vAlign w:val="center"/>
          </w:tcPr>
          <w:p w14:paraId="00B6F4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电接式压力表</w:t>
            </w:r>
          </w:p>
        </w:tc>
        <w:tc>
          <w:tcPr>
            <w:tcW w:w="648" w:type="dxa"/>
            <w:tcBorders>
              <w:top w:val="nil"/>
              <w:left w:val="single" w:color="000000" w:sz="8" w:space="0"/>
              <w:bottom w:val="single" w:color="000000" w:sz="8" w:space="0"/>
              <w:right w:val="single" w:color="000000" w:sz="8" w:space="0"/>
            </w:tcBorders>
            <w:noWrap w:val="0"/>
            <w:vAlign w:val="center"/>
          </w:tcPr>
          <w:p w14:paraId="4C6E3072">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2个</w:t>
            </w:r>
          </w:p>
        </w:tc>
        <w:tc>
          <w:tcPr>
            <w:tcW w:w="3984" w:type="dxa"/>
            <w:tcBorders>
              <w:top w:val="nil"/>
              <w:left w:val="single" w:color="000000" w:sz="8" w:space="0"/>
              <w:bottom w:val="single" w:color="000000" w:sz="8" w:space="0"/>
              <w:right w:val="single" w:color="000000" w:sz="8" w:space="0"/>
            </w:tcBorders>
            <w:noWrap w:val="0"/>
            <w:vAlign w:val="center"/>
          </w:tcPr>
          <w:p w14:paraId="3748F04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电接式压力表，表盘直径145mm，量程0-60MPa，精度1.6，螺接口表背后</w:t>
            </w:r>
          </w:p>
        </w:tc>
        <w:tc>
          <w:tcPr>
            <w:tcW w:w="1284" w:type="dxa"/>
            <w:tcBorders>
              <w:top w:val="nil"/>
              <w:left w:val="single" w:color="000000" w:sz="8" w:space="0"/>
              <w:bottom w:val="single" w:color="000000" w:sz="8" w:space="0"/>
              <w:right w:val="single" w:color="000000" w:sz="8" w:space="0"/>
            </w:tcBorders>
            <w:noWrap w:val="0"/>
            <w:vAlign w:val="center"/>
          </w:tcPr>
          <w:p w14:paraId="4C3DD71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随设备附带检定或校验证书，产品合格证。</w:t>
            </w:r>
          </w:p>
        </w:tc>
        <w:tc>
          <w:tcPr>
            <w:tcW w:w="2736" w:type="dxa"/>
            <w:tcBorders>
              <w:top w:val="nil"/>
              <w:left w:val="single" w:color="000000" w:sz="8" w:space="0"/>
              <w:bottom w:val="single" w:color="000000" w:sz="8" w:space="0"/>
              <w:right w:val="single" w:color="000000" w:sz="8" w:space="0"/>
            </w:tcBorders>
            <w:noWrap w:val="0"/>
            <w:vAlign w:val="center"/>
          </w:tcPr>
          <w:p w14:paraId="73F752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14:paraId="4A3D0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2"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05722D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972" w:type="dxa"/>
            <w:tcBorders>
              <w:top w:val="single" w:color="000000" w:sz="8" w:space="0"/>
              <w:left w:val="single" w:color="000000" w:sz="8" w:space="0"/>
              <w:bottom w:val="single" w:color="000000" w:sz="8" w:space="0"/>
              <w:right w:val="single" w:color="000000" w:sz="8" w:space="0"/>
            </w:tcBorders>
            <w:noWrap w:val="0"/>
            <w:vAlign w:val="center"/>
          </w:tcPr>
          <w:p w14:paraId="370C08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精密压力表</w:t>
            </w:r>
          </w:p>
        </w:tc>
        <w:tc>
          <w:tcPr>
            <w:tcW w:w="648" w:type="dxa"/>
            <w:tcBorders>
              <w:top w:val="single" w:color="000000" w:sz="8" w:space="0"/>
              <w:left w:val="single" w:color="000000" w:sz="8" w:space="0"/>
              <w:bottom w:val="single" w:color="000000" w:sz="8" w:space="0"/>
              <w:right w:val="single" w:color="000000" w:sz="8" w:space="0"/>
            </w:tcBorders>
            <w:noWrap w:val="0"/>
            <w:vAlign w:val="center"/>
          </w:tcPr>
          <w:p w14:paraId="50EC147D">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2个</w:t>
            </w:r>
          </w:p>
        </w:tc>
        <w:tc>
          <w:tcPr>
            <w:tcW w:w="3984" w:type="dxa"/>
            <w:tcBorders>
              <w:top w:val="single" w:color="000000" w:sz="8" w:space="0"/>
              <w:left w:val="single" w:color="000000" w:sz="8" w:space="0"/>
              <w:bottom w:val="single" w:color="000000" w:sz="8" w:space="0"/>
              <w:right w:val="single" w:color="000000" w:sz="8" w:space="0"/>
            </w:tcBorders>
            <w:noWrap w:val="0"/>
            <w:vAlign w:val="center"/>
          </w:tcPr>
          <w:p w14:paraId="3599CA6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表盘直径149mm，量程0-60MPa，精度0.25，螺接口表背后</w:t>
            </w:r>
          </w:p>
        </w:tc>
        <w:tc>
          <w:tcPr>
            <w:tcW w:w="1284" w:type="dxa"/>
            <w:tcBorders>
              <w:top w:val="single" w:color="000000" w:sz="8" w:space="0"/>
              <w:left w:val="single" w:color="000000" w:sz="8" w:space="0"/>
              <w:bottom w:val="single" w:color="000000" w:sz="8" w:space="0"/>
              <w:right w:val="single" w:color="000000" w:sz="8" w:space="0"/>
            </w:tcBorders>
            <w:noWrap w:val="0"/>
            <w:vAlign w:val="center"/>
          </w:tcPr>
          <w:p w14:paraId="275A222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随设备附带检定或校验证书，产品合格证。</w:t>
            </w:r>
          </w:p>
        </w:tc>
        <w:tc>
          <w:tcPr>
            <w:tcW w:w="2736" w:type="dxa"/>
            <w:tcBorders>
              <w:top w:val="single" w:color="000000" w:sz="8" w:space="0"/>
              <w:left w:val="single" w:color="000000" w:sz="8" w:space="0"/>
              <w:bottom w:val="single" w:color="000000" w:sz="8" w:space="0"/>
              <w:right w:val="single" w:color="000000" w:sz="8" w:space="0"/>
            </w:tcBorders>
            <w:noWrap w:val="0"/>
            <w:vAlign w:val="center"/>
          </w:tcPr>
          <w:p w14:paraId="1BDC68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14:paraId="0B91A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483112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972" w:type="dxa"/>
            <w:tcBorders>
              <w:top w:val="single" w:color="000000" w:sz="8" w:space="0"/>
              <w:left w:val="single" w:color="000000" w:sz="8" w:space="0"/>
              <w:bottom w:val="single" w:color="000000" w:sz="8" w:space="0"/>
              <w:right w:val="single" w:color="000000" w:sz="8" w:space="0"/>
            </w:tcBorders>
            <w:noWrap w:val="0"/>
            <w:vAlign w:val="center"/>
          </w:tcPr>
          <w:p w14:paraId="25BBB1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压力表</w:t>
            </w:r>
          </w:p>
        </w:tc>
        <w:tc>
          <w:tcPr>
            <w:tcW w:w="648" w:type="dxa"/>
            <w:tcBorders>
              <w:top w:val="single" w:color="000000" w:sz="8" w:space="0"/>
              <w:left w:val="single" w:color="000000" w:sz="8" w:space="0"/>
              <w:bottom w:val="single" w:color="000000" w:sz="8" w:space="0"/>
              <w:right w:val="single" w:color="000000" w:sz="8" w:space="0"/>
            </w:tcBorders>
            <w:noWrap w:val="0"/>
            <w:vAlign w:val="center"/>
          </w:tcPr>
          <w:p w14:paraId="4DF22916">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2个</w:t>
            </w:r>
          </w:p>
        </w:tc>
        <w:tc>
          <w:tcPr>
            <w:tcW w:w="3984" w:type="dxa"/>
            <w:tcBorders>
              <w:top w:val="single" w:color="000000" w:sz="8" w:space="0"/>
              <w:left w:val="single" w:color="000000" w:sz="8" w:space="0"/>
              <w:bottom w:val="single" w:color="000000" w:sz="8" w:space="0"/>
              <w:right w:val="single" w:color="000000" w:sz="8" w:space="0"/>
            </w:tcBorders>
            <w:noWrap w:val="0"/>
            <w:vAlign w:val="center"/>
          </w:tcPr>
          <w:p w14:paraId="6C05EC7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表盘直径99mm，量程0-40MPa，精度1.6，螺接口表背后</w:t>
            </w:r>
          </w:p>
        </w:tc>
        <w:tc>
          <w:tcPr>
            <w:tcW w:w="1284" w:type="dxa"/>
            <w:tcBorders>
              <w:top w:val="single" w:color="000000" w:sz="8" w:space="0"/>
              <w:left w:val="single" w:color="000000" w:sz="8" w:space="0"/>
              <w:bottom w:val="single" w:color="000000" w:sz="8" w:space="0"/>
              <w:right w:val="single" w:color="000000" w:sz="8" w:space="0"/>
            </w:tcBorders>
            <w:noWrap w:val="0"/>
            <w:vAlign w:val="center"/>
          </w:tcPr>
          <w:p w14:paraId="03809FA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随设备附带检定或校验证书，产品合格证。</w:t>
            </w:r>
          </w:p>
        </w:tc>
        <w:tc>
          <w:tcPr>
            <w:tcW w:w="2736" w:type="dxa"/>
            <w:tcBorders>
              <w:top w:val="single" w:color="000000" w:sz="8" w:space="0"/>
              <w:left w:val="single" w:color="000000" w:sz="8" w:space="0"/>
              <w:bottom w:val="single" w:color="000000" w:sz="8" w:space="0"/>
              <w:right w:val="single" w:color="000000" w:sz="8" w:space="0"/>
            </w:tcBorders>
            <w:noWrap w:val="0"/>
            <w:vAlign w:val="center"/>
          </w:tcPr>
          <w:p w14:paraId="1D8FF3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14:paraId="4D6FB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0" w:hRule="atLeast"/>
        </w:trPr>
        <w:tc>
          <w:tcPr>
            <w:tcW w:w="597" w:type="dxa"/>
            <w:tcBorders>
              <w:top w:val="single" w:color="000000" w:sz="4" w:space="0"/>
              <w:left w:val="single" w:color="000000" w:sz="4" w:space="0"/>
              <w:bottom w:val="single" w:color="000000" w:sz="4" w:space="0"/>
              <w:right w:val="single" w:color="000000" w:sz="4" w:space="0"/>
            </w:tcBorders>
            <w:noWrap/>
            <w:vAlign w:val="center"/>
          </w:tcPr>
          <w:p w14:paraId="6AE80B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972" w:type="dxa"/>
            <w:tcBorders>
              <w:top w:val="single" w:color="000000" w:sz="8" w:space="0"/>
              <w:left w:val="single" w:color="000000" w:sz="8" w:space="0"/>
              <w:bottom w:val="single" w:color="auto" w:sz="4" w:space="0"/>
              <w:right w:val="single" w:color="000000" w:sz="8" w:space="0"/>
            </w:tcBorders>
            <w:noWrap w:val="0"/>
            <w:vAlign w:val="center"/>
          </w:tcPr>
          <w:p w14:paraId="5655FA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压力表</w:t>
            </w:r>
          </w:p>
        </w:tc>
        <w:tc>
          <w:tcPr>
            <w:tcW w:w="648" w:type="dxa"/>
            <w:tcBorders>
              <w:top w:val="single" w:color="000000" w:sz="8" w:space="0"/>
              <w:left w:val="single" w:color="000000" w:sz="8" w:space="0"/>
              <w:bottom w:val="single" w:color="auto" w:sz="4" w:space="0"/>
              <w:right w:val="single" w:color="000000" w:sz="8" w:space="0"/>
            </w:tcBorders>
            <w:noWrap w:val="0"/>
            <w:vAlign w:val="center"/>
          </w:tcPr>
          <w:p w14:paraId="6FED7225">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2个</w:t>
            </w:r>
          </w:p>
        </w:tc>
        <w:tc>
          <w:tcPr>
            <w:tcW w:w="3984" w:type="dxa"/>
            <w:tcBorders>
              <w:top w:val="single" w:color="000000" w:sz="8" w:space="0"/>
              <w:left w:val="single" w:color="000000" w:sz="8" w:space="0"/>
              <w:bottom w:val="single" w:color="auto" w:sz="4" w:space="0"/>
              <w:right w:val="single" w:color="000000" w:sz="8" w:space="0"/>
            </w:tcBorders>
            <w:noWrap w:val="0"/>
            <w:vAlign w:val="center"/>
          </w:tcPr>
          <w:p w14:paraId="39B39B9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表盘直径58mm，量程0-1.6MPa，精度2.5，螺接口表背后</w:t>
            </w:r>
          </w:p>
        </w:tc>
        <w:tc>
          <w:tcPr>
            <w:tcW w:w="1284" w:type="dxa"/>
            <w:tcBorders>
              <w:top w:val="single" w:color="000000" w:sz="8" w:space="0"/>
              <w:left w:val="single" w:color="000000" w:sz="8" w:space="0"/>
              <w:bottom w:val="single" w:color="auto" w:sz="4" w:space="0"/>
              <w:right w:val="single" w:color="000000" w:sz="8" w:space="0"/>
            </w:tcBorders>
            <w:noWrap w:val="0"/>
            <w:vAlign w:val="center"/>
          </w:tcPr>
          <w:p w14:paraId="231F745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随设备附带检定或校验证书，产品合格证。</w:t>
            </w:r>
          </w:p>
        </w:tc>
        <w:tc>
          <w:tcPr>
            <w:tcW w:w="2736" w:type="dxa"/>
            <w:tcBorders>
              <w:top w:val="single" w:color="000000" w:sz="8" w:space="0"/>
              <w:left w:val="single" w:color="000000" w:sz="8" w:space="0"/>
              <w:bottom w:val="single" w:color="auto" w:sz="4" w:space="0"/>
              <w:right w:val="single" w:color="000000" w:sz="8" w:space="0"/>
            </w:tcBorders>
            <w:noWrap w:val="0"/>
            <w:vAlign w:val="center"/>
          </w:tcPr>
          <w:p w14:paraId="087B9B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14:paraId="52BC0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4" w:hRule="atLeast"/>
        </w:trPr>
        <w:tc>
          <w:tcPr>
            <w:tcW w:w="597" w:type="dxa"/>
            <w:tcBorders>
              <w:top w:val="single" w:color="000000" w:sz="4" w:space="0"/>
              <w:left w:val="single" w:color="000000" w:sz="4" w:space="0"/>
              <w:bottom w:val="single" w:color="000000" w:sz="4" w:space="0"/>
              <w:right w:val="single" w:color="auto" w:sz="4" w:space="0"/>
            </w:tcBorders>
            <w:noWrap/>
            <w:vAlign w:val="center"/>
          </w:tcPr>
          <w:p w14:paraId="6E68B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972" w:type="dxa"/>
            <w:tcBorders>
              <w:top w:val="single" w:color="auto" w:sz="4" w:space="0"/>
              <w:left w:val="single" w:color="auto" w:sz="4" w:space="0"/>
              <w:bottom w:val="single" w:color="auto" w:sz="4" w:space="0"/>
              <w:right w:val="single" w:color="000000" w:sz="8" w:space="0"/>
            </w:tcBorders>
            <w:noWrap w:val="0"/>
            <w:vAlign w:val="center"/>
          </w:tcPr>
          <w:p w14:paraId="6C0A53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精密压力表</w:t>
            </w:r>
          </w:p>
        </w:tc>
        <w:tc>
          <w:tcPr>
            <w:tcW w:w="648" w:type="dxa"/>
            <w:tcBorders>
              <w:top w:val="single" w:color="auto" w:sz="4" w:space="0"/>
              <w:left w:val="single" w:color="000000" w:sz="8" w:space="0"/>
              <w:bottom w:val="single" w:color="auto" w:sz="4" w:space="0"/>
              <w:right w:val="single" w:color="000000" w:sz="8" w:space="0"/>
            </w:tcBorders>
            <w:noWrap w:val="0"/>
            <w:vAlign w:val="center"/>
          </w:tcPr>
          <w:p w14:paraId="662AFE73">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2个</w:t>
            </w:r>
          </w:p>
        </w:tc>
        <w:tc>
          <w:tcPr>
            <w:tcW w:w="3984" w:type="dxa"/>
            <w:tcBorders>
              <w:top w:val="single" w:color="auto" w:sz="4" w:space="0"/>
              <w:left w:val="single" w:color="000000" w:sz="8" w:space="0"/>
              <w:bottom w:val="single" w:color="auto" w:sz="4" w:space="0"/>
              <w:right w:val="single" w:color="000000" w:sz="8" w:space="0"/>
            </w:tcBorders>
            <w:noWrap w:val="0"/>
            <w:vAlign w:val="center"/>
          </w:tcPr>
          <w:p w14:paraId="6844B7C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表盘直径150mm，量程0-25MPa，精度0.4，螺接口表正下方</w:t>
            </w:r>
          </w:p>
        </w:tc>
        <w:tc>
          <w:tcPr>
            <w:tcW w:w="1284" w:type="dxa"/>
            <w:tcBorders>
              <w:top w:val="single" w:color="auto" w:sz="4" w:space="0"/>
              <w:left w:val="single" w:color="000000" w:sz="8" w:space="0"/>
              <w:bottom w:val="single" w:color="auto" w:sz="4" w:space="0"/>
              <w:right w:val="single" w:color="000000" w:sz="8" w:space="0"/>
            </w:tcBorders>
            <w:noWrap w:val="0"/>
            <w:vAlign w:val="center"/>
          </w:tcPr>
          <w:p w14:paraId="500E5DAF">
            <w:pPr>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随设备附带检定或校验证书，产品合格证。</w:t>
            </w:r>
          </w:p>
        </w:tc>
        <w:tc>
          <w:tcPr>
            <w:tcW w:w="2736" w:type="dxa"/>
            <w:tcBorders>
              <w:top w:val="single" w:color="auto" w:sz="4" w:space="0"/>
              <w:left w:val="single" w:color="000000" w:sz="8" w:space="0"/>
              <w:bottom w:val="single" w:color="auto" w:sz="4" w:space="0"/>
              <w:right w:val="single" w:color="000000" w:sz="8" w:space="0"/>
            </w:tcBorders>
            <w:noWrap w:val="0"/>
            <w:vAlign w:val="center"/>
          </w:tcPr>
          <w:p w14:paraId="2DC837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bl>
    <w:p w14:paraId="32B9B8D4">
      <w:pPr>
        <w:ind w:firstLine="430" w:firstLineChars="200"/>
        <w:rPr>
          <w:rFonts w:hint="eastAsia" w:ascii="宋体" w:hAnsi="宋体" w:eastAsia="宋体" w:cs="宋体"/>
          <w:snapToGrid w:val="0"/>
          <w:color w:val="auto"/>
          <w:kern w:val="0"/>
          <w:sz w:val="21"/>
          <w:szCs w:val="21"/>
          <w:highlight w:val="none"/>
          <w:lang w:val="en-US" w:eastAsia="zh-CN"/>
        </w:rPr>
      </w:pPr>
    </w:p>
    <w:p w14:paraId="63656907">
      <w:pPr>
        <w:spacing w:line="360" w:lineRule="auto"/>
        <w:rPr>
          <w:rFonts w:hint="default"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商务要求：</w:t>
      </w:r>
    </w:p>
    <w:p w14:paraId="607C5F0B">
      <w:pPr>
        <w:spacing w:line="360" w:lineRule="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1.包装要求</w:t>
      </w:r>
    </w:p>
    <w:p w14:paraId="46971031">
      <w:pPr>
        <w:spacing w:line="360" w:lineRule="auto"/>
        <w:ind w:firstLine="570" w:firstLineChars="200"/>
        <w:jc w:val="both"/>
        <w:rPr>
          <w:rFonts w:hint="eastAsia" w:ascii="仿宋" w:hAnsi="仿宋" w:eastAsia="仿宋" w:cs="仿宋"/>
          <w:b/>
          <w:bCs/>
          <w:color w:val="auto"/>
          <w:sz w:val="28"/>
          <w:szCs w:val="28"/>
          <w:lang w:eastAsia="zh-CN"/>
        </w:rPr>
      </w:pPr>
      <w:r>
        <w:rPr>
          <w:rFonts w:hint="eastAsia" w:ascii="仿宋" w:hAnsi="仿宋" w:eastAsia="仿宋" w:cs="仿宋"/>
          <w:color w:val="auto"/>
          <w:sz w:val="28"/>
          <w:szCs w:val="28"/>
          <w:lang w:val="en-US" w:eastAsia="zh-CN"/>
        </w:rPr>
        <w:t>供方应提供货物运至合同规定的最终目的地所需要的包装，以防止货物在转运中损坏。这类包装应采取防潮、防晒、防锈防腐蚀、防震动及防止其它损坏的必要保护措施，从而保护货物能够经受多次搬运、装卸和内陆的长途运输。供方应承担由于其包装或其防护措施不妥而引起货物锈蚀、损坏和丢失的任何损失的责任或费用。</w:t>
      </w:r>
    </w:p>
    <w:p w14:paraId="3C730829">
      <w:pPr>
        <w:numPr>
          <w:ilvl w:val="0"/>
          <w:numId w:val="5"/>
        </w:numPr>
        <w:spacing w:line="360" w:lineRule="auto"/>
        <w:ind w:firstLine="570" w:firstLineChars="200"/>
        <w:rPr>
          <w:rFonts w:hint="eastAsia" w:ascii="仿宋" w:hAnsi="仿宋" w:eastAsia="仿宋" w:cs="仿宋"/>
          <w:color w:val="auto"/>
          <w:sz w:val="28"/>
          <w:szCs w:val="28"/>
          <w:highlight w:val="none"/>
          <w:lang w:eastAsia="zh-CN"/>
        </w:rPr>
      </w:pPr>
      <w:r>
        <w:rPr>
          <w:rFonts w:hint="eastAsia" w:ascii="仿宋" w:hAnsi="仿宋" w:eastAsia="仿宋" w:cs="仿宋"/>
          <w:b/>
          <w:bCs/>
          <w:color w:val="auto"/>
          <w:sz w:val="28"/>
          <w:szCs w:val="28"/>
          <w:lang w:eastAsia="zh-CN"/>
        </w:rPr>
        <w:t>实施（交货）期 ：</w:t>
      </w:r>
      <w:r>
        <w:rPr>
          <w:rFonts w:hint="eastAsia" w:ascii="仿宋" w:hAnsi="仿宋" w:eastAsia="仿宋" w:cs="仿宋"/>
          <w:color w:val="auto"/>
          <w:sz w:val="28"/>
          <w:szCs w:val="28"/>
          <w:highlight w:val="none"/>
          <w:lang w:val="en-US" w:eastAsia="zh-CN"/>
        </w:rPr>
        <w:t>30天内供货完成并安装调试完成使用(具体</w:t>
      </w:r>
      <w:r>
        <w:rPr>
          <w:rFonts w:hint="eastAsia" w:ascii="仿宋" w:hAnsi="仿宋" w:eastAsia="仿宋" w:cs="仿宋"/>
          <w:color w:val="auto"/>
          <w:sz w:val="28"/>
          <w:szCs w:val="28"/>
          <w:highlight w:val="none"/>
        </w:rPr>
        <w:t>甲乙双方签订合同约定为准</w:t>
      </w:r>
      <w:r>
        <w:rPr>
          <w:rFonts w:hint="eastAsia" w:ascii="仿宋" w:hAnsi="仿宋" w:eastAsia="仿宋" w:cs="仿宋"/>
          <w:color w:val="auto"/>
          <w:sz w:val="28"/>
          <w:szCs w:val="28"/>
          <w:highlight w:val="none"/>
          <w:lang w:val="en-US" w:eastAsia="zh-CN"/>
        </w:rPr>
        <w:t>)。</w:t>
      </w:r>
    </w:p>
    <w:p w14:paraId="4B6FBA05">
      <w:pPr>
        <w:numPr>
          <w:ilvl w:val="0"/>
          <w:numId w:val="0"/>
        </w:numPr>
        <w:spacing w:line="360" w:lineRule="auto"/>
        <w:ind w:firstLine="570" w:firstLineChars="200"/>
        <w:rPr>
          <w:rFonts w:hint="default" w:ascii="仿宋" w:hAnsi="仿宋" w:eastAsia="仿宋" w:cs="仿宋"/>
          <w:color w:val="auto"/>
          <w:sz w:val="28"/>
          <w:szCs w:val="28"/>
          <w:lang w:val="en-US" w:eastAsia="zh-CN"/>
        </w:rPr>
      </w:pPr>
      <w:r>
        <w:rPr>
          <w:rFonts w:hint="eastAsia" w:ascii="仿宋" w:hAnsi="仿宋" w:eastAsia="仿宋" w:cs="仿宋"/>
          <w:b/>
          <w:bCs/>
          <w:color w:val="auto"/>
          <w:sz w:val="28"/>
          <w:szCs w:val="28"/>
          <w:lang w:eastAsia="zh-CN"/>
        </w:rPr>
        <w:t>（二）实施（交货）地点</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highlight w:val="none"/>
          <w:lang w:val="en-US" w:eastAsia="zh-CN"/>
        </w:rPr>
        <w:t>甲方指定地点</w:t>
      </w:r>
    </w:p>
    <w:p w14:paraId="729FBD17">
      <w:pPr>
        <w:spacing w:line="360" w:lineRule="auto"/>
        <w:ind w:firstLine="570" w:firstLineChars="200"/>
        <w:jc w:val="both"/>
        <w:rPr>
          <w:rFonts w:hint="default" w:ascii="仿宋" w:hAnsi="仿宋" w:eastAsia="仿宋" w:cs="仿宋"/>
          <w:i w:val="0"/>
          <w:iCs w:val="0"/>
          <w:color w:val="auto"/>
          <w:sz w:val="28"/>
          <w:szCs w:val="28"/>
          <w:u w:val="none"/>
          <w:lang w:val="en-US" w:eastAsia="zh-CN"/>
        </w:rPr>
      </w:pPr>
      <w:r>
        <w:rPr>
          <w:rFonts w:hint="eastAsia" w:ascii="仿宋" w:hAnsi="仿宋" w:eastAsia="仿宋" w:cs="仿宋"/>
          <w:color w:val="auto"/>
          <w:sz w:val="28"/>
          <w:szCs w:val="28"/>
          <w:lang w:val="en-US" w:eastAsia="zh-CN"/>
        </w:rPr>
        <w:t>（三）</w:t>
      </w:r>
      <w:r>
        <w:rPr>
          <w:rFonts w:hint="eastAsia" w:ascii="仿宋" w:hAnsi="仿宋" w:eastAsia="仿宋" w:cs="仿宋"/>
          <w:b/>
          <w:bCs/>
          <w:color w:val="auto"/>
          <w:sz w:val="28"/>
          <w:szCs w:val="28"/>
          <w:lang w:val="en-US" w:eastAsia="zh-CN"/>
        </w:rPr>
        <w:t>质保期：</w:t>
      </w:r>
      <w:r>
        <w:rPr>
          <w:rFonts w:hint="eastAsia" w:ascii="仿宋" w:hAnsi="仿宋" w:eastAsia="仿宋" w:cs="仿宋"/>
          <w:i w:val="0"/>
          <w:iCs w:val="0"/>
          <w:color w:val="auto"/>
          <w:sz w:val="28"/>
          <w:szCs w:val="28"/>
          <w:u w:val="none"/>
          <w:lang w:val="en-US" w:eastAsia="zh-CN"/>
        </w:rPr>
        <w:t>3年</w:t>
      </w:r>
    </w:p>
    <w:p w14:paraId="61D9492A">
      <w:pPr>
        <w:pStyle w:val="7"/>
        <w:numPr>
          <w:ilvl w:val="0"/>
          <w:numId w:val="0"/>
        </w:numPr>
        <w:ind w:left="360" w:leftChars="0" w:firstLine="285" w:firstLineChars="100"/>
        <w:rPr>
          <w:rFonts w:hint="eastAsia" w:ascii="仿宋" w:hAnsi="仿宋" w:eastAsia="仿宋" w:cs="仿宋"/>
          <w:color w:val="auto"/>
          <w:sz w:val="28"/>
          <w:szCs w:val="28"/>
          <w:lang w:val="en-US" w:eastAsia="zh-CN"/>
        </w:rPr>
      </w:pPr>
      <w:r>
        <w:rPr>
          <w:rFonts w:hint="eastAsia" w:ascii="仿宋" w:hAnsi="仿宋" w:eastAsia="仿宋" w:cs="仿宋"/>
          <w:i w:val="0"/>
          <w:iCs w:val="0"/>
          <w:color w:val="auto"/>
          <w:sz w:val="28"/>
          <w:szCs w:val="28"/>
          <w:u w:val="none"/>
          <w:lang w:val="en-US" w:eastAsia="zh-CN"/>
        </w:rPr>
        <w:t>（四）质量要求：</w:t>
      </w:r>
      <w:r>
        <w:rPr>
          <w:rFonts w:hint="eastAsia" w:ascii="仿宋" w:hAnsi="仿宋" w:eastAsia="仿宋" w:cs="仿宋"/>
          <w:color w:val="auto"/>
          <w:sz w:val="28"/>
          <w:szCs w:val="28"/>
          <w:highlight w:val="none"/>
          <w:lang w:val="en-US" w:eastAsia="zh-CN"/>
        </w:rPr>
        <w:t>合格</w:t>
      </w:r>
    </w:p>
    <w:p w14:paraId="32862AB1">
      <w:pPr>
        <w:spacing w:line="360" w:lineRule="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lang w:eastAsia="zh-CN"/>
        </w:rPr>
        <w:t>报价要求</w:t>
      </w:r>
    </w:p>
    <w:p w14:paraId="1FF165B4">
      <w:pPr>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本次报价为人民币报价，投标报价应包括：货物本身价格、保险费用、养护费、包装费、运输费用、二次搬运费、装卸费、损耗、税金费用、自检费、人工费、其他配件费及验收合格前和质保期内发生的一切费用、应当提供的伴随服务费用。</w:t>
      </w:r>
    </w:p>
    <w:p w14:paraId="3A411F67">
      <w:pPr>
        <w:spacing w:line="360" w:lineRule="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3.质量要求</w:t>
      </w:r>
    </w:p>
    <w:p w14:paraId="72DA0925">
      <w:pPr>
        <w:spacing w:line="360" w:lineRule="auto"/>
        <w:ind w:firstLine="57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1、投标人应保证用品是全新、未使用过的合格正品,并完全符合国家执行标准和行业的相关标准</w:t>
      </w:r>
    </w:p>
    <w:p w14:paraId="5AB905A6">
      <w:pPr>
        <w:spacing w:line="360" w:lineRule="auto"/>
        <w:ind w:firstLine="57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2、投标人提供伪劣假冒商品或非合格全新的，投标人应无条件更换为合格产品。给甲方造成损失的,应承担赔偿责任。</w:t>
      </w:r>
    </w:p>
    <w:p w14:paraId="4CE74CDA">
      <w:pPr>
        <w:spacing w:line="360" w:lineRule="auto"/>
        <w:ind w:firstLine="57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3、所供货物质量如达不到甲方质量要求的，必须按甲方要求更换，更换至甲方满意为止。</w:t>
      </w:r>
    </w:p>
    <w:p w14:paraId="44C76FA0">
      <w:pPr>
        <w:spacing w:line="360" w:lineRule="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4.验收</w:t>
      </w:r>
    </w:p>
    <w:p w14:paraId="14EA9BDC">
      <w:pPr>
        <w:spacing w:line="360" w:lineRule="auto"/>
        <w:ind w:firstLine="57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1、货物到达现场后，供应商应在使用单位人员在场情况下当面共同清点、检查，作出检查记录，双方签字确认。</w:t>
      </w:r>
    </w:p>
    <w:p w14:paraId="3A3BF95C">
      <w:pPr>
        <w:pStyle w:val="24"/>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2、供应商提供的货物未达到谈判文件规定要求，且对采购人造成损失的，由供应商承担一切责任，并赔偿所造成的损失。</w:t>
      </w:r>
    </w:p>
    <w:p w14:paraId="30FACE48">
      <w:pPr>
        <w:spacing w:line="360" w:lineRule="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5、付款方式</w:t>
      </w:r>
    </w:p>
    <w:p w14:paraId="4FE5FF99">
      <w:pPr>
        <w:spacing w:line="360" w:lineRule="auto"/>
        <w:ind w:firstLine="570" w:firstLineChars="200"/>
        <w:rPr>
          <w:rFonts w:hint="eastAsia" w:ascii="仿宋" w:hAnsi="仿宋" w:eastAsia="仿宋" w:cs="仿宋"/>
          <w:color w:val="auto"/>
          <w:sz w:val="28"/>
          <w:szCs w:val="28"/>
          <w:highlight w:val="none"/>
        </w:rPr>
      </w:pPr>
      <w:bookmarkStart w:id="70" w:name="_Toc21807"/>
      <w:bookmarkStart w:id="71" w:name="_Toc16945"/>
      <w:bookmarkStart w:id="72" w:name="_Toc8238"/>
      <w:r>
        <w:rPr>
          <w:rFonts w:hint="eastAsia" w:ascii="仿宋" w:hAnsi="仿宋" w:eastAsia="仿宋" w:cs="仿宋"/>
          <w:color w:val="auto"/>
          <w:sz w:val="28"/>
          <w:szCs w:val="28"/>
          <w:highlight w:val="none"/>
          <w:lang w:eastAsia="zh-CN"/>
        </w:rPr>
        <w:t>签订合同后支付合同价款的30%,供货完成安装验收合格后支付剩余合同价款70%。</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具体</w:t>
      </w:r>
      <w:r>
        <w:rPr>
          <w:rFonts w:hint="eastAsia" w:ascii="仿宋" w:hAnsi="仿宋" w:eastAsia="仿宋" w:cs="仿宋"/>
          <w:color w:val="auto"/>
          <w:sz w:val="28"/>
          <w:szCs w:val="28"/>
          <w:highlight w:val="none"/>
        </w:rPr>
        <w:t>以甲乙双方签订合同为准）</w:t>
      </w:r>
    </w:p>
    <w:p w14:paraId="236E57E1">
      <w:pPr>
        <w:spacing w:line="360" w:lineRule="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6、售后服务要求</w:t>
      </w:r>
    </w:p>
    <w:p w14:paraId="5DAD6AA4">
      <w:pPr>
        <w:spacing w:line="360" w:lineRule="auto"/>
        <w:ind w:firstLine="285" w:firstLineChars="100"/>
        <w:rPr>
          <w:rFonts w:hint="eastAsia" w:asciiTheme="minorEastAsia" w:hAnsiTheme="minorEastAsia" w:eastAsiaTheme="minorEastAsia" w:cstheme="minorEastAsia"/>
          <w:b/>
          <w:color w:val="auto"/>
          <w:sz w:val="28"/>
          <w:szCs w:val="28"/>
          <w:highlight w:val="none"/>
          <w:shd w:val="clear" w:color="auto" w:fill="auto"/>
          <w:lang w:val="en-US" w:eastAsia="zh-CN"/>
        </w:rPr>
      </w:pPr>
      <w:r>
        <w:rPr>
          <w:rFonts w:hint="eastAsia" w:asciiTheme="minorEastAsia" w:hAnsiTheme="minorEastAsia" w:eastAsiaTheme="minorEastAsia" w:cstheme="minorEastAsia"/>
          <w:b/>
          <w:color w:val="auto"/>
          <w:sz w:val="28"/>
          <w:szCs w:val="28"/>
          <w:highlight w:val="none"/>
          <w:shd w:val="clear" w:color="auto" w:fill="auto"/>
          <w:lang w:val="en-US" w:eastAsia="zh-CN"/>
        </w:rPr>
        <w:t>1、产品质量保证期</w:t>
      </w:r>
    </w:p>
    <w:p w14:paraId="03A12AF6">
      <w:pPr>
        <w:spacing w:line="360" w:lineRule="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（1）产品质量保证期，免费3年质保。</w:t>
      </w:r>
    </w:p>
    <w:p w14:paraId="67647039">
      <w:pPr>
        <w:spacing w:line="360" w:lineRule="auto"/>
        <w:ind w:firstLine="285" w:firstLineChars="100"/>
        <w:rPr>
          <w:rFonts w:hint="eastAsia" w:ascii="仿宋" w:hAnsi="仿宋" w:eastAsia="仿宋" w:cs="仿宋"/>
          <w:b/>
          <w:color w:val="auto"/>
          <w:sz w:val="28"/>
          <w:szCs w:val="28"/>
          <w:highlight w:val="none"/>
          <w:shd w:val="clear" w:color="auto" w:fill="auto"/>
          <w:lang w:val="en-US" w:eastAsia="zh-CN"/>
        </w:rPr>
      </w:pPr>
      <w:r>
        <w:rPr>
          <w:rFonts w:hint="eastAsia" w:ascii="仿宋" w:hAnsi="仿宋" w:eastAsia="仿宋" w:cs="仿宋"/>
          <w:b/>
          <w:color w:val="auto"/>
          <w:sz w:val="28"/>
          <w:szCs w:val="28"/>
          <w:highlight w:val="none"/>
          <w:shd w:val="clear" w:color="auto" w:fill="auto"/>
          <w:lang w:val="en-US" w:eastAsia="zh-CN"/>
        </w:rPr>
        <w:t>2、售后服务内容</w:t>
      </w:r>
    </w:p>
    <w:p w14:paraId="0DDF7D7A">
      <w:pPr>
        <w:spacing w:line="360" w:lineRule="auto"/>
        <w:ind w:firstLine="712" w:firstLineChars="250"/>
        <w:rPr>
          <w:rFonts w:hint="eastAsia" w:ascii="仿宋" w:hAnsi="仿宋" w:eastAsia="仿宋" w:cs="仿宋"/>
          <w:b w:val="0"/>
          <w:bCs/>
          <w:color w:val="auto"/>
          <w:kern w:val="2"/>
          <w:sz w:val="28"/>
          <w:szCs w:val="28"/>
          <w:shd w:val="clear" w:color="auto" w:fill="auto"/>
          <w:lang w:val="en-US" w:eastAsia="zh-CN" w:bidi="ar-SA"/>
        </w:rPr>
      </w:pPr>
      <w:r>
        <w:rPr>
          <w:rFonts w:hint="eastAsia" w:ascii="仿宋" w:hAnsi="仿宋" w:eastAsia="仿宋" w:cs="仿宋"/>
          <w:b w:val="0"/>
          <w:bCs/>
          <w:color w:val="auto"/>
          <w:kern w:val="2"/>
          <w:sz w:val="28"/>
          <w:szCs w:val="28"/>
          <w:shd w:val="clear" w:color="auto" w:fill="auto"/>
          <w:lang w:val="en-US" w:eastAsia="zh-CN" w:bidi="ar-SA"/>
        </w:rPr>
        <w:t>供应商在质量保证期内应当为采购人提供以下技术支持服务：</w:t>
      </w:r>
    </w:p>
    <w:p w14:paraId="229ED01C">
      <w:pPr>
        <w:spacing w:line="360" w:lineRule="auto"/>
        <w:ind w:firstLine="285" w:firstLineChars="100"/>
        <w:rPr>
          <w:rFonts w:hint="eastAsia" w:ascii="仿宋" w:hAnsi="仿宋" w:eastAsia="仿宋" w:cs="仿宋"/>
          <w:b w:val="0"/>
          <w:bCs/>
          <w:color w:val="auto"/>
          <w:sz w:val="28"/>
          <w:szCs w:val="28"/>
          <w:highlight w:val="none"/>
          <w:shd w:val="clear" w:color="auto" w:fill="auto"/>
          <w:lang w:val="en-US" w:eastAsia="zh-CN"/>
        </w:rPr>
      </w:pPr>
      <w:r>
        <w:rPr>
          <w:rFonts w:hint="eastAsia" w:ascii="仿宋" w:hAnsi="仿宋" w:eastAsia="仿宋" w:cs="仿宋"/>
          <w:b w:val="0"/>
          <w:bCs/>
          <w:color w:val="auto"/>
          <w:sz w:val="28"/>
          <w:szCs w:val="28"/>
          <w:highlight w:val="none"/>
          <w:shd w:val="clear" w:color="auto" w:fill="auto"/>
          <w:lang w:val="en-US" w:eastAsia="zh-CN"/>
        </w:rPr>
        <w:t>（1）质量保证期内服务要求</w:t>
      </w:r>
    </w:p>
    <w:p w14:paraId="698222B3">
      <w:pPr>
        <w:spacing w:line="360" w:lineRule="auto"/>
        <w:ind w:firstLine="855" w:firstLineChars="300"/>
        <w:rPr>
          <w:rFonts w:hint="eastAsia" w:ascii="仿宋" w:hAnsi="仿宋" w:eastAsia="仿宋" w:cs="仿宋"/>
          <w:b w:val="0"/>
          <w:bCs/>
          <w:color w:val="auto"/>
          <w:kern w:val="2"/>
          <w:sz w:val="28"/>
          <w:szCs w:val="28"/>
          <w:shd w:val="clear" w:color="auto" w:fill="auto"/>
          <w:lang w:val="en-US" w:eastAsia="zh-CN" w:bidi="ar-SA"/>
        </w:rPr>
      </w:pPr>
      <w:r>
        <w:rPr>
          <w:rFonts w:hint="eastAsia" w:ascii="仿宋" w:hAnsi="仿宋" w:eastAsia="仿宋" w:cs="仿宋"/>
          <w:b w:val="0"/>
          <w:bCs/>
          <w:color w:val="auto"/>
          <w:kern w:val="2"/>
          <w:sz w:val="28"/>
          <w:szCs w:val="28"/>
          <w:shd w:val="clear" w:color="auto" w:fill="auto"/>
          <w:lang w:val="en-US" w:eastAsia="zh-CN" w:bidi="ar-SA"/>
        </w:rPr>
        <w:t>1）电话咨询</w:t>
      </w:r>
    </w:p>
    <w:p w14:paraId="78785CCC">
      <w:pPr>
        <w:spacing w:line="360" w:lineRule="auto"/>
        <w:ind w:firstLine="570" w:firstLineChars="200"/>
        <w:rPr>
          <w:rFonts w:hint="eastAsia" w:ascii="仿宋" w:hAnsi="仿宋" w:eastAsia="仿宋" w:cs="仿宋"/>
          <w:b w:val="0"/>
          <w:bCs/>
          <w:color w:val="auto"/>
          <w:kern w:val="2"/>
          <w:sz w:val="28"/>
          <w:szCs w:val="28"/>
          <w:shd w:val="clear" w:color="auto" w:fill="auto"/>
          <w:lang w:val="en-US" w:eastAsia="zh-CN" w:bidi="ar-SA"/>
        </w:rPr>
      </w:pPr>
      <w:r>
        <w:rPr>
          <w:rFonts w:hint="eastAsia" w:ascii="仿宋" w:hAnsi="仿宋" w:eastAsia="仿宋" w:cs="仿宋"/>
          <w:b w:val="0"/>
          <w:bCs/>
          <w:color w:val="auto"/>
          <w:kern w:val="2"/>
          <w:sz w:val="28"/>
          <w:szCs w:val="28"/>
          <w:shd w:val="clear" w:color="auto" w:fill="auto"/>
          <w:lang w:val="en-US" w:eastAsia="zh-CN" w:bidi="ar-SA"/>
        </w:rPr>
        <w:t>供应商应当为用户提供技术援助电话，解答用户在使用中遇到的问题，及时为用户提出解决问题的建议。</w:t>
      </w:r>
    </w:p>
    <w:p w14:paraId="506B537B">
      <w:pPr>
        <w:spacing w:line="360" w:lineRule="auto"/>
        <w:ind w:firstLine="570" w:firstLineChars="200"/>
        <w:rPr>
          <w:rFonts w:hint="eastAsia" w:ascii="仿宋" w:hAnsi="仿宋" w:eastAsia="仿宋" w:cs="仿宋"/>
          <w:b w:val="0"/>
          <w:bCs/>
          <w:color w:val="auto"/>
          <w:sz w:val="28"/>
          <w:szCs w:val="28"/>
          <w:shd w:val="clear" w:color="auto" w:fill="auto"/>
          <w:lang w:val="en-US" w:eastAsia="zh-CN"/>
        </w:rPr>
      </w:pPr>
      <w:r>
        <w:rPr>
          <w:rFonts w:hint="eastAsia" w:ascii="仿宋" w:hAnsi="仿宋" w:eastAsia="仿宋" w:cs="仿宋"/>
          <w:b w:val="0"/>
          <w:bCs/>
          <w:color w:val="auto"/>
          <w:kern w:val="2"/>
          <w:sz w:val="28"/>
          <w:szCs w:val="28"/>
          <w:shd w:val="clear" w:color="auto" w:fill="auto"/>
          <w:lang w:val="en-US" w:eastAsia="zh-CN" w:bidi="ar-SA"/>
        </w:rPr>
        <w:t>服务热线：供应商需提供供应商及厂家的服务热线及联系人.</w:t>
      </w:r>
    </w:p>
    <w:p w14:paraId="23B4177B">
      <w:pPr>
        <w:spacing w:line="360" w:lineRule="auto"/>
        <w:ind w:firstLine="855" w:firstLineChars="300"/>
        <w:rPr>
          <w:rFonts w:hint="eastAsia" w:ascii="仿宋" w:hAnsi="仿宋" w:eastAsia="仿宋" w:cs="仿宋"/>
          <w:b w:val="0"/>
          <w:bCs/>
          <w:color w:val="auto"/>
          <w:kern w:val="2"/>
          <w:sz w:val="28"/>
          <w:szCs w:val="28"/>
          <w:shd w:val="clear" w:color="auto" w:fill="auto"/>
          <w:lang w:val="en-US" w:eastAsia="zh-CN" w:bidi="ar-SA"/>
        </w:rPr>
      </w:pPr>
      <w:r>
        <w:rPr>
          <w:rFonts w:hint="eastAsia" w:ascii="仿宋" w:hAnsi="仿宋" w:eastAsia="仿宋" w:cs="仿宋"/>
          <w:b w:val="0"/>
          <w:bCs/>
          <w:color w:val="auto"/>
          <w:kern w:val="2"/>
          <w:sz w:val="28"/>
          <w:szCs w:val="28"/>
          <w:shd w:val="clear" w:color="auto" w:fill="auto"/>
          <w:lang w:val="en-US" w:eastAsia="zh-CN" w:bidi="ar-SA"/>
        </w:rPr>
        <w:t>2）现场响应</w:t>
      </w:r>
    </w:p>
    <w:p w14:paraId="20EDF7DA">
      <w:pPr>
        <w:spacing w:line="360" w:lineRule="auto"/>
        <w:ind w:firstLine="570" w:firstLineChars="200"/>
        <w:rPr>
          <w:rFonts w:hint="eastAsia" w:ascii="仿宋" w:hAnsi="仿宋" w:eastAsia="仿宋" w:cs="仿宋"/>
          <w:b w:val="0"/>
          <w:bCs/>
          <w:color w:val="auto"/>
          <w:kern w:val="2"/>
          <w:sz w:val="28"/>
          <w:szCs w:val="28"/>
          <w:shd w:val="clear" w:color="auto" w:fill="auto"/>
          <w:lang w:val="en-US" w:eastAsia="zh-CN" w:bidi="ar-SA"/>
        </w:rPr>
      </w:pPr>
      <w:r>
        <w:rPr>
          <w:rFonts w:hint="eastAsia" w:ascii="仿宋" w:hAnsi="仿宋" w:eastAsia="仿宋" w:cs="仿宋"/>
          <w:b w:val="0"/>
          <w:bCs/>
          <w:color w:val="auto"/>
          <w:kern w:val="2"/>
          <w:sz w:val="28"/>
          <w:szCs w:val="28"/>
          <w:shd w:val="clear" w:color="auto" w:fill="auto"/>
          <w:lang w:val="en-US" w:eastAsia="zh-CN" w:bidi="ar-SA"/>
        </w:rPr>
        <w:t>针对此项目，供应商需提供期限为3年免费质保，质保期内提供技术支持、设备及系统维护、免费备件更换等服务。提供7*24小时售后服务；出现使用故障必须保证，7*24小时随时响应，在4小时内远程响应解决，48小时内形成解决方案并委派工程师到设备使用地点进行处理。</w:t>
      </w:r>
    </w:p>
    <w:p w14:paraId="201D613D">
      <w:pPr>
        <w:spacing w:line="360" w:lineRule="auto"/>
        <w:ind w:firstLine="570" w:firstLineChars="200"/>
        <w:rPr>
          <w:rFonts w:hint="eastAsia" w:ascii="仿宋" w:hAnsi="仿宋" w:eastAsia="仿宋" w:cs="仿宋"/>
          <w:b w:val="0"/>
          <w:bCs/>
          <w:color w:val="auto"/>
          <w:kern w:val="2"/>
          <w:sz w:val="28"/>
          <w:szCs w:val="28"/>
          <w:shd w:val="clear" w:color="auto" w:fill="auto"/>
          <w:lang w:val="en-US" w:eastAsia="zh-CN" w:bidi="ar-SA"/>
        </w:rPr>
      </w:pPr>
      <w:r>
        <w:rPr>
          <w:rFonts w:hint="eastAsia" w:ascii="仿宋" w:hAnsi="仿宋" w:eastAsia="仿宋" w:cs="仿宋"/>
          <w:b w:val="0"/>
          <w:bCs/>
          <w:color w:val="auto"/>
          <w:kern w:val="2"/>
          <w:sz w:val="28"/>
          <w:szCs w:val="28"/>
          <w:shd w:val="clear" w:color="auto" w:fill="auto"/>
          <w:lang w:val="en-US" w:eastAsia="zh-CN" w:bidi="ar-SA"/>
        </w:rPr>
        <w:t>（2）质保期外服务要求</w:t>
      </w:r>
    </w:p>
    <w:p w14:paraId="280E0A30">
      <w:pPr>
        <w:spacing w:line="360" w:lineRule="auto"/>
        <w:ind w:firstLine="855" w:firstLineChars="300"/>
        <w:rPr>
          <w:rFonts w:hint="eastAsia" w:ascii="仿宋" w:hAnsi="仿宋" w:eastAsia="仿宋" w:cs="仿宋"/>
          <w:b w:val="0"/>
          <w:bCs/>
          <w:color w:val="auto"/>
          <w:kern w:val="2"/>
          <w:sz w:val="28"/>
          <w:szCs w:val="28"/>
          <w:shd w:val="clear" w:color="auto" w:fill="auto"/>
          <w:lang w:val="en-US" w:eastAsia="zh-CN" w:bidi="ar-SA"/>
        </w:rPr>
      </w:pPr>
      <w:r>
        <w:rPr>
          <w:rFonts w:hint="eastAsia" w:ascii="仿宋" w:hAnsi="仿宋" w:eastAsia="仿宋" w:cs="仿宋"/>
          <w:b w:val="0"/>
          <w:bCs/>
          <w:color w:val="auto"/>
          <w:kern w:val="2"/>
          <w:sz w:val="28"/>
          <w:szCs w:val="28"/>
          <w:shd w:val="clear" w:color="auto" w:fill="auto"/>
          <w:lang w:val="en-US" w:eastAsia="zh-CN" w:bidi="ar-SA"/>
        </w:rPr>
        <w:t>1）质量保证期过后，供应商和厂家应同样提供免费电话咨询服务，并应承诺提供产品上门维护服务。</w:t>
      </w:r>
    </w:p>
    <w:p w14:paraId="1D8FBC51">
      <w:pPr>
        <w:spacing w:line="360" w:lineRule="auto"/>
        <w:ind w:firstLine="855" w:firstLineChars="300"/>
        <w:rPr>
          <w:rFonts w:hint="eastAsia" w:ascii="仿宋" w:hAnsi="仿宋" w:eastAsia="仿宋" w:cs="仿宋"/>
          <w:b w:val="0"/>
          <w:bCs/>
          <w:color w:val="auto"/>
          <w:kern w:val="2"/>
          <w:sz w:val="28"/>
          <w:szCs w:val="28"/>
          <w:shd w:val="clear" w:color="auto" w:fill="auto"/>
          <w:lang w:val="en-US" w:eastAsia="zh-CN" w:bidi="ar-SA"/>
        </w:rPr>
      </w:pPr>
      <w:r>
        <w:rPr>
          <w:rFonts w:hint="eastAsia" w:ascii="仿宋" w:hAnsi="仿宋" w:eastAsia="仿宋" w:cs="仿宋"/>
          <w:b w:val="0"/>
          <w:bCs/>
          <w:color w:val="auto"/>
          <w:kern w:val="2"/>
          <w:sz w:val="28"/>
          <w:szCs w:val="28"/>
          <w:shd w:val="clear" w:color="auto" w:fill="auto"/>
          <w:lang w:val="en-US" w:eastAsia="zh-CN" w:bidi="ar-SA"/>
        </w:rPr>
        <w:t>2）质量保证期过后，采购人需要继续由原供应商或厂家提供售后服务的，该供应商和厂家应以优惠价格提供售后服务。</w:t>
      </w:r>
    </w:p>
    <w:p w14:paraId="676A9494">
      <w:pPr>
        <w:spacing w:line="360" w:lineRule="auto"/>
        <w:ind w:firstLine="855" w:firstLineChars="300"/>
        <w:rPr>
          <w:rFonts w:hint="eastAsia" w:ascii="仿宋" w:hAnsi="仿宋" w:eastAsia="仿宋" w:cs="仿宋"/>
          <w:b/>
          <w:bCs w:val="0"/>
          <w:color w:val="auto"/>
          <w:kern w:val="2"/>
          <w:sz w:val="28"/>
          <w:szCs w:val="28"/>
          <w:shd w:val="clear" w:color="auto" w:fill="auto"/>
          <w:lang w:val="en-US" w:eastAsia="zh-CN" w:bidi="ar-SA"/>
        </w:rPr>
      </w:pPr>
      <w:r>
        <w:rPr>
          <w:rFonts w:hint="eastAsia" w:ascii="仿宋" w:hAnsi="仿宋" w:eastAsia="仿宋" w:cs="仿宋"/>
          <w:b/>
          <w:bCs w:val="0"/>
          <w:color w:val="auto"/>
          <w:kern w:val="2"/>
          <w:sz w:val="28"/>
          <w:szCs w:val="28"/>
          <w:shd w:val="clear" w:color="auto" w:fill="auto"/>
          <w:lang w:val="en-US" w:eastAsia="zh-CN" w:bidi="ar-SA"/>
        </w:rPr>
        <w:t>3、故障响应时间要求</w:t>
      </w:r>
    </w:p>
    <w:p w14:paraId="6474E2BA">
      <w:pPr>
        <w:spacing w:line="360" w:lineRule="auto"/>
        <w:ind w:firstLine="570" w:firstLineChars="200"/>
        <w:rPr>
          <w:rFonts w:hint="eastAsia" w:ascii="仿宋" w:hAnsi="仿宋" w:eastAsia="仿宋" w:cs="仿宋"/>
          <w:color w:val="auto"/>
          <w:sz w:val="28"/>
          <w:szCs w:val="28"/>
          <w:highlight w:val="none"/>
        </w:rPr>
      </w:pPr>
      <w:r>
        <w:rPr>
          <w:rFonts w:hint="eastAsia" w:ascii="仿宋" w:hAnsi="仿宋" w:eastAsia="仿宋" w:cs="仿宋"/>
          <w:b w:val="0"/>
          <w:bCs/>
          <w:color w:val="auto"/>
          <w:kern w:val="2"/>
          <w:sz w:val="28"/>
          <w:szCs w:val="28"/>
          <w:shd w:val="clear" w:color="auto" w:fill="auto"/>
          <w:lang w:val="en-US" w:eastAsia="zh-CN" w:bidi="ar-SA"/>
        </w:rPr>
        <w:t>供应商接到使用方产品出现问题的通知后立即作出响应，48小时内形成解决方案并委派工程师到设备使用地点进行处理。</w:t>
      </w:r>
    </w:p>
    <w:p w14:paraId="7CBA2C5D">
      <w:pPr>
        <w:spacing w:line="360" w:lineRule="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7、项目其他要求：</w:t>
      </w:r>
    </w:p>
    <w:p w14:paraId="7AB63B20">
      <w:pPr>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1.设备质保期不少于3年，设备供应商应履行三包政策，在质保期内设备出现故障或下一周期送检不合格，供应商应及时无条件免费维修或换新。</w:t>
      </w:r>
      <w:r>
        <w:rPr>
          <w:rFonts w:hint="eastAsia" w:ascii="仿宋" w:hAnsi="仿宋" w:eastAsia="仿宋" w:cs="仿宋"/>
          <w:color w:val="auto"/>
          <w:sz w:val="28"/>
          <w:szCs w:val="28"/>
          <w:highlight w:val="none"/>
          <w:lang w:val="en-US" w:eastAsia="zh-CN"/>
        </w:rPr>
        <w:tab/>
      </w:r>
      <w:r>
        <w:rPr>
          <w:rFonts w:hint="eastAsia" w:ascii="仿宋" w:hAnsi="仿宋" w:eastAsia="仿宋" w:cs="仿宋"/>
          <w:color w:val="auto"/>
          <w:sz w:val="28"/>
          <w:szCs w:val="28"/>
          <w:highlight w:val="none"/>
          <w:lang w:val="en-US" w:eastAsia="zh-CN"/>
        </w:rPr>
        <w:tab/>
      </w:r>
    </w:p>
    <w:p w14:paraId="4EE9BED4">
      <w:pPr>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2.设备应提供合适的箱子（保护套、保护罩、盒子），实验室设备应提供防尘罩。</w:t>
      </w:r>
      <w:r>
        <w:rPr>
          <w:rFonts w:hint="eastAsia" w:ascii="仿宋" w:hAnsi="仿宋" w:eastAsia="仿宋" w:cs="仿宋"/>
          <w:color w:val="auto"/>
          <w:sz w:val="28"/>
          <w:szCs w:val="28"/>
          <w:highlight w:val="none"/>
          <w:lang w:val="en-US" w:eastAsia="zh-CN"/>
        </w:rPr>
        <w:tab/>
      </w:r>
      <w:r>
        <w:rPr>
          <w:rFonts w:hint="eastAsia" w:ascii="仿宋" w:hAnsi="仿宋" w:eastAsia="仿宋" w:cs="仿宋"/>
          <w:color w:val="auto"/>
          <w:sz w:val="28"/>
          <w:szCs w:val="28"/>
          <w:highlight w:val="none"/>
          <w:lang w:val="en-US" w:eastAsia="zh-CN"/>
        </w:rPr>
        <w:tab/>
      </w:r>
      <w:r>
        <w:rPr>
          <w:rFonts w:hint="eastAsia" w:ascii="仿宋" w:hAnsi="仿宋" w:eastAsia="仿宋" w:cs="仿宋"/>
          <w:color w:val="auto"/>
          <w:sz w:val="28"/>
          <w:szCs w:val="28"/>
          <w:highlight w:val="none"/>
          <w:lang w:val="en-US" w:eastAsia="zh-CN"/>
        </w:rPr>
        <w:tab/>
      </w:r>
    </w:p>
    <w:p w14:paraId="5426BAB0">
      <w:pPr>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3.设备供应商应提供可溯源的检定或校验报告。</w:t>
      </w:r>
      <w:r>
        <w:rPr>
          <w:rFonts w:hint="eastAsia" w:ascii="仿宋" w:hAnsi="仿宋" w:eastAsia="仿宋" w:cs="仿宋"/>
          <w:color w:val="auto"/>
          <w:sz w:val="28"/>
          <w:szCs w:val="28"/>
          <w:highlight w:val="none"/>
          <w:lang w:val="en-US" w:eastAsia="zh-CN"/>
        </w:rPr>
        <w:tab/>
      </w:r>
      <w:r>
        <w:rPr>
          <w:rFonts w:hint="eastAsia" w:ascii="仿宋" w:hAnsi="仿宋" w:eastAsia="仿宋" w:cs="仿宋"/>
          <w:color w:val="auto"/>
          <w:sz w:val="28"/>
          <w:szCs w:val="28"/>
          <w:highlight w:val="none"/>
          <w:lang w:val="en-US" w:eastAsia="zh-CN"/>
        </w:rPr>
        <w:tab/>
      </w:r>
      <w:r>
        <w:rPr>
          <w:rFonts w:hint="eastAsia" w:ascii="仿宋" w:hAnsi="仿宋" w:eastAsia="仿宋" w:cs="仿宋"/>
          <w:color w:val="auto"/>
          <w:sz w:val="28"/>
          <w:szCs w:val="28"/>
          <w:highlight w:val="none"/>
          <w:lang w:val="en-US" w:eastAsia="zh-CN"/>
        </w:rPr>
        <w:tab/>
      </w:r>
    </w:p>
    <w:p w14:paraId="6041AB91">
      <w:pPr>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4.设备应提供配套的检验检测标准或规范，版本应为最新版本，数量不少于要求。</w:t>
      </w:r>
      <w:r>
        <w:rPr>
          <w:rFonts w:hint="eastAsia" w:ascii="仿宋" w:hAnsi="仿宋" w:eastAsia="仿宋" w:cs="仿宋"/>
          <w:color w:val="auto"/>
          <w:sz w:val="28"/>
          <w:szCs w:val="28"/>
          <w:highlight w:val="none"/>
          <w:lang w:val="en-US" w:eastAsia="zh-CN"/>
        </w:rPr>
        <w:tab/>
      </w:r>
      <w:r>
        <w:rPr>
          <w:rFonts w:hint="eastAsia" w:ascii="仿宋" w:hAnsi="仿宋" w:eastAsia="仿宋" w:cs="仿宋"/>
          <w:color w:val="auto"/>
          <w:sz w:val="28"/>
          <w:szCs w:val="28"/>
          <w:highlight w:val="none"/>
          <w:lang w:val="en-US" w:eastAsia="zh-CN"/>
        </w:rPr>
        <w:tab/>
      </w:r>
      <w:r>
        <w:rPr>
          <w:rFonts w:hint="eastAsia" w:ascii="仿宋" w:hAnsi="仿宋" w:eastAsia="仿宋" w:cs="仿宋"/>
          <w:color w:val="auto"/>
          <w:sz w:val="28"/>
          <w:szCs w:val="28"/>
          <w:highlight w:val="none"/>
          <w:lang w:val="en-US" w:eastAsia="zh-CN"/>
        </w:rPr>
        <w:tab/>
      </w:r>
    </w:p>
    <w:p w14:paraId="4AC96AAC">
      <w:pPr>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5.设备需要安装后进行调试的设备，应在调试完成后再交付给采购方，试验结果通过视为合格。</w:t>
      </w:r>
    </w:p>
    <w:p w14:paraId="13684BBB">
      <w:pPr>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6.设备供应方应对采购方的人员进行设备使用培训，制定相应的培训方案。</w:t>
      </w:r>
      <w:r>
        <w:rPr>
          <w:rFonts w:hint="eastAsia" w:ascii="仿宋" w:hAnsi="仿宋" w:eastAsia="仿宋" w:cs="仿宋"/>
          <w:color w:val="auto"/>
          <w:sz w:val="28"/>
          <w:szCs w:val="28"/>
          <w:highlight w:val="none"/>
          <w:lang w:val="en-US" w:eastAsia="zh-CN"/>
        </w:rPr>
        <w:tab/>
      </w:r>
      <w:r>
        <w:rPr>
          <w:rFonts w:hint="eastAsia" w:ascii="仿宋" w:hAnsi="仿宋" w:eastAsia="仿宋" w:cs="仿宋"/>
          <w:color w:val="auto"/>
          <w:sz w:val="28"/>
          <w:szCs w:val="28"/>
          <w:highlight w:val="none"/>
          <w:lang w:val="en-US" w:eastAsia="zh-CN"/>
        </w:rPr>
        <w:tab/>
      </w:r>
      <w:r>
        <w:rPr>
          <w:rFonts w:hint="eastAsia" w:ascii="仿宋" w:hAnsi="仿宋" w:eastAsia="仿宋" w:cs="仿宋"/>
          <w:color w:val="auto"/>
          <w:sz w:val="28"/>
          <w:szCs w:val="28"/>
          <w:highlight w:val="none"/>
          <w:lang w:val="en-US" w:eastAsia="zh-CN"/>
        </w:rPr>
        <w:tab/>
      </w:r>
    </w:p>
    <w:p w14:paraId="730DD6D9">
      <w:pPr>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7.设备供应方在采购方遇到故障或技术问题时，需在24小时内给予免费的技术支持或咨询服务。</w:t>
      </w:r>
      <w:r>
        <w:rPr>
          <w:rFonts w:hint="eastAsia" w:ascii="仿宋" w:hAnsi="仿宋" w:eastAsia="仿宋" w:cs="仿宋"/>
          <w:color w:val="auto"/>
          <w:sz w:val="28"/>
          <w:szCs w:val="28"/>
          <w:highlight w:val="none"/>
          <w:lang w:val="en-US" w:eastAsia="zh-CN"/>
        </w:rPr>
        <w:tab/>
      </w:r>
      <w:r>
        <w:rPr>
          <w:rFonts w:hint="eastAsia" w:ascii="仿宋" w:hAnsi="仿宋" w:eastAsia="仿宋" w:cs="仿宋"/>
          <w:color w:val="auto"/>
          <w:sz w:val="28"/>
          <w:szCs w:val="28"/>
          <w:highlight w:val="none"/>
          <w:lang w:val="en-US" w:eastAsia="zh-CN"/>
        </w:rPr>
        <w:tab/>
      </w:r>
      <w:r>
        <w:rPr>
          <w:rFonts w:hint="eastAsia" w:ascii="仿宋" w:hAnsi="仿宋" w:eastAsia="仿宋" w:cs="仿宋"/>
          <w:color w:val="auto"/>
          <w:sz w:val="28"/>
          <w:szCs w:val="28"/>
          <w:highlight w:val="none"/>
          <w:lang w:val="en-US" w:eastAsia="zh-CN"/>
        </w:rPr>
        <w:tab/>
      </w:r>
    </w:p>
    <w:p w14:paraId="5CC492A9">
      <w:pPr>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8.设备软件升级应为免费，不得设置技术壁垒。</w:t>
      </w:r>
      <w:r>
        <w:rPr>
          <w:rFonts w:hint="eastAsia" w:ascii="仿宋" w:hAnsi="仿宋" w:eastAsia="仿宋" w:cs="仿宋"/>
          <w:color w:val="auto"/>
          <w:sz w:val="28"/>
          <w:szCs w:val="28"/>
          <w:highlight w:val="none"/>
          <w:lang w:val="en-US" w:eastAsia="zh-CN"/>
        </w:rPr>
        <w:tab/>
      </w:r>
      <w:r>
        <w:rPr>
          <w:rFonts w:hint="eastAsia" w:ascii="仿宋" w:hAnsi="仿宋" w:eastAsia="仿宋" w:cs="仿宋"/>
          <w:color w:val="auto"/>
          <w:sz w:val="28"/>
          <w:szCs w:val="28"/>
          <w:highlight w:val="none"/>
          <w:lang w:val="en-US" w:eastAsia="zh-CN"/>
        </w:rPr>
        <w:tab/>
      </w:r>
      <w:r>
        <w:rPr>
          <w:rFonts w:hint="eastAsia" w:ascii="仿宋" w:hAnsi="仿宋" w:eastAsia="仿宋" w:cs="仿宋"/>
          <w:color w:val="auto"/>
          <w:sz w:val="28"/>
          <w:szCs w:val="28"/>
          <w:highlight w:val="none"/>
          <w:lang w:val="en-US" w:eastAsia="zh-CN"/>
        </w:rPr>
        <w:tab/>
      </w:r>
    </w:p>
    <w:p w14:paraId="590562AA">
      <w:pPr>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9.设备供应方应提供产品合格证、使用说明书（纸质版、电子版）、操作视频等相关资料。</w:t>
      </w:r>
      <w:r>
        <w:rPr>
          <w:rFonts w:hint="eastAsia" w:ascii="仿宋" w:hAnsi="仿宋" w:eastAsia="仿宋" w:cs="仿宋"/>
          <w:color w:val="auto"/>
          <w:sz w:val="28"/>
          <w:szCs w:val="28"/>
          <w:highlight w:val="none"/>
          <w:lang w:val="en-US" w:eastAsia="zh-CN"/>
        </w:rPr>
        <w:tab/>
      </w:r>
      <w:r>
        <w:rPr>
          <w:rFonts w:hint="eastAsia" w:ascii="仿宋" w:hAnsi="仿宋" w:eastAsia="仿宋" w:cs="仿宋"/>
          <w:color w:val="auto"/>
          <w:sz w:val="28"/>
          <w:szCs w:val="28"/>
          <w:highlight w:val="none"/>
          <w:lang w:val="en-US" w:eastAsia="zh-CN"/>
        </w:rPr>
        <w:tab/>
      </w:r>
      <w:r>
        <w:rPr>
          <w:rFonts w:hint="eastAsia" w:ascii="仿宋" w:hAnsi="仿宋" w:eastAsia="仿宋" w:cs="仿宋"/>
          <w:color w:val="auto"/>
          <w:sz w:val="28"/>
          <w:szCs w:val="28"/>
          <w:highlight w:val="none"/>
          <w:lang w:val="en-US" w:eastAsia="zh-CN"/>
        </w:rPr>
        <w:tab/>
      </w:r>
    </w:p>
    <w:p w14:paraId="74BBEF58">
      <w:pPr>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10.设备在需要调试的，供应方应提供必要的调试耗材，用于调试。</w:t>
      </w:r>
      <w:r>
        <w:rPr>
          <w:rFonts w:hint="eastAsia" w:ascii="仿宋" w:hAnsi="仿宋" w:eastAsia="仿宋" w:cs="仿宋"/>
          <w:color w:val="auto"/>
          <w:sz w:val="28"/>
          <w:szCs w:val="28"/>
          <w:highlight w:val="none"/>
          <w:lang w:val="en-US" w:eastAsia="zh-CN"/>
        </w:rPr>
        <w:tab/>
      </w:r>
      <w:r>
        <w:rPr>
          <w:rFonts w:hint="eastAsia" w:ascii="仿宋" w:hAnsi="仿宋" w:eastAsia="仿宋" w:cs="仿宋"/>
          <w:color w:val="auto"/>
          <w:sz w:val="28"/>
          <w:szCs w:val="28"/>
          <w:highlight w:val="none"/>
          <w:lang w:val="en-US" w:eastAsia="zh-CN"/>
        </w:rPr>
        <w:tab/>
      </w:r>
    </w:p>
    <w:p w14:paraId="5D0EFFB8">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11.设备附属的其他设备，也应提供合格证及参数表，如有特种设备，需提供特种设备生产制造许可证、产品质量证明书，并提供在有效期的检验报告，协助采购方办理使用登记证。</w:t>
      </w:r>
      <w:r>
        <w:rPr>
          <w:rFonts w:hint="eastAsia" w:ascii="宋体" w:hAnsi="宋体" w:eastAsia="宋体" w:cs="宋体"/>
          <w:snapToGrid w:val="0"/>
          <w:color w:val="auto"/>
          <w:kern w:val="0"/>
          <w:sz w:val="21"/>
          <w:szCs w:val="21"/>
          <w:highlight w:val="none"/>
          <w:lang w:val="en-US" w:eastAsia="zh-CN"/>
        </w:rPr>
        <w:tab/>
      </w:r>
    </w:p>
    <w:bookmarkEnd w:id="70"/>
    <w:bookmarkEnd w:id="71"/>
    <w:bookmarkEnd w:id="72"/>
    <w:p w14:paraId="0BDB34A4">
      <w:pPr>
        <w:spacing w:line="360" w:lineRule="auto"/>
        <w:rPr>
          <w:rFonts w:hint="eastAsia" w:ascii="仿宋" w:hAnsi="仿宋" w:eastAsia="仿宋" w:cs="仿宋"/>
          <w:b/>
          <w:bCs/>
          <w:color w:val="auto"/>
          <w:sz w:val="28"/>
          <w:szCs w:val="28"/>
          <w:lang w:eastAsia="zh-CN"/>
        </w:rPr>
      </w:pPr>
      <w:bookmarkStart w:id="73" w:name="_Toc7598"/>
      <w:bookmarkStart w:id="74" w:name="_Toc20832"/>
      <w:bookmarkStart w:id="75" w:name="_Toc12239"/>
      <w:bookmarkStart w:id="76" w:name="_Toc12840_WPSOffice_Level1"/>
      <w:bookmarkStart w:id="77" w:name="_Toc439255252"/>
      <w:bookmarkStart w:id="78" w:name="_Toc267320054"/>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lang w:eastAsia="zh-CN"/>
        </w:rPr>
        <w:t>其他</w:t>
      </w:r>
      <w:bookmarkEnd w:id="73"/>
      <w:bookmarkEnd w:id="74"/>
      <w:bookmarkEnd w:id="75"/>
    </w:p>
    <w:bookmarkEnd w:id="76"/>
    <w:bookmarkEnd w:id="77"/>
    <w:bookmarkEnd w:id="78"/>
    <w:p w14:paraId="02BC5170">
      <w:pPr>
        <w:shd w:val="clear" w:color="auto" w:fill="auto"/>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1、投标人必须在响应文件中对以上条款和服务承诺明确列出，承诺内容必须达到本篇及谈判文件其他条款的要求（</w:t>
      </w:r>
      <w:r>
        <w:rPr>
          <w:rFonts w:hint="eastAsia" w:ascii="仿宋" w:hAnsi="仿宋" w:eastAsia="仿宋" w:cs="仿宋"/>
          <w:color w:val="auto"/>
          <w:sz w:val="28"/>
          <w:szCs w:val="28"/>
          <w:lang w:val="en-US" w:eastAsia="zh-CN"/>
        </w:rPr>
        <w:t>承诺书格式自拟</w:t>
      </w:r>
      <w:r>
        <w:rPr>
          <w:rFonts w:hint="eastAsia" w:ascii="仿宋" w:hAnsi="仿宋" w:eastAsia="仿宋" w:cs="仿宋"/>
          <w:color w:val="auto"/>
          <w:sz w:val="28"/>
          <w:szCs w:val="28"/>
          <w:lang w:eastAsia="zh-CN"/>
        </w:rPr>
        <w:t>）。</w:t>
      </w:r>
    </w:p>
    <w:p w14:paraId="721D11FC">
      <w:pPr>
        <w:shd w:val="clear" w:color="auto" w:fill="auto"/>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2、其他未尽事宜由供需双方在采购合同中详细约定。</w:t>
      </w:r>
    </w:p>
    <w:p w14:paraId="555F01A8">
      <w:pPr>
        <w:pStyle w:val="13"/>
        <w:rPr>
          <w:rFonts w:hint="eastAsia" w:ascii="仿宋" w:hAnsi="仿宋" w:eastAsia="仿宋" w:cs="仿宋"/>
          <w:color w:val="auto"/>
          <w:sz w:val="28"/>
          <w:szCs w:val="28"/>
          <w:lang w:eastAsia="zh-CN"/>
        </w:rPr>
      </w:pPr>
    </w:p>
    <w:bookmarkEnd w:id="11"/>
    <w:p w14:paraId="1A366034">
      <w:pPr>
        <w:numPr>
          <w:ilvl w:val="0"/>
          <w:numId w:val="0"/>
        </w:numPr>
        <w:jc w:val="both"/>
        <w:rPr>
          <w:rFonts w:hint="eastAsia" w:ascii="仿宋" w:hAnsi="仿宋" w:eastAsia="仿宋" w:cs="仿宋"/>
          <w:b/>
          <w:color w:val="auto"/>
          <w:sz w:val="28"/>
          <w:szCs w:val="28"/>
          <w:lang w:val="en-US" w:eastAsia="zh-CN"/>
        </w:rPr>
      </w:pPr>
    </w:p>
    <w:p w14:paraId="1B0A1DFB">
      <w:pPr>
        <w:pStyle w:val="2"/>
        <w:rPr>
          <w:rFonts w:hint="eastAsia" w:ascii="仿宋" w:hAnsi="仿宋" w:eastAsia="仿宋" w:cs="仿宋"/>
          <w:b/>
          <w:color w:val="auto"/>
          <w:sz w:val="28"/>
          <w:szCs w:val="28"/>
          <w:lang w:val="en-US" w:eastAsia="zh-CN"/>
        </w:rPr>
      </w:pPr>
    </w:p>
    <w:p w14:paraId="0C1F077A">
      <w:pPr>
        <w:rPr>
          <w:rFonts w:hint="eastAsia" w:ascii="仿宋" w:hAnsi="仿宋" w:eastAsia="仿宋" w:cs="仿宋"/>
          <w:b/>
          <w:color w:val="auto"/>
          <w:sz w:val="28"/>
          <w:szCs w:val="28"/>
          <w:lang w:val="en-US" w:eastAsia="zh-CN"/>
        </w:rPr>
      </w:pPr>
    </w:p>
    <w:p w14:paraId="52C89383">
      <w:pPr>
        <w:pStyle w:val="2"/>
        <w:rPr>
          <w:rFonts w:hint="eastAsia" w:ascii="仿宋" w:hAnsi="仿宋" w:eastAsia="仿宋" w:cs="仿宋"/>
          <w:b/>
          <w:color w:val="auto"/>
          <w:sz w:val="28"/>
          <w:szCs w:val="28"/>
          <w:lang w:val="en-US" w:eastAsia="zh-CN"/>
        </w:rPr>
      </w:pPr>
    </w:p>
    <w:p w14:paraId="4DD2F315">
      <w:pPr>
        <w:rPr>
          <w:rFonts w:hint="eastAsia" w:ascii="仿宋" w:hAnsi="仿宋" w:eastAsia="仿宋" w:cs="仿宋"/>
          <w:b/>
          <w:color w:val="auto"/>
          <w:sz w:val="28"/>
          <w:szCs w:val="28"/>
          <w:lang w:val="en-US" w:eastAsia="zh-CN"/>
        </w:rPr>
      </w:pPr>
    </w:p>
    <w:p w14:paraId="46DB2AD1">
      <w:pPr>
        <w:pStyle w:val="2"/>
        <w:rPr>
          <w:rFonts w:hint="eastAsia" w:ascii="仿宋" w:hAnsi="仿宋" w:eastAsia="仿宋" w:cs="仿宋"/>
          <w:b/>
          <w:color w:val="auto"/>
          <w:sz w:val="28"/>
          <w:szCs w:val="28"/>
          <w:lang w:val="en-US" w:eastAsia="zh-CN"/>
        </w:rPr>
      </w:pPr>
    </w:p>
    <w:p w14:paraId="087FBA64">
      <w:pPr>
        <w:rPr>
          <w:rFonts w:hint="eastAsia" w:ascii="仿宋" w:hAnsi="仿宋" w:eastAsia="仿宋" w:cs="仿宋"/>
          <w:b/>
          <w:color w:val="auto"/>
          <w:sz w:val="28"/>
          <w:szCs w:val="28"/>
          <w:lang w:val="en-US" w:eastAsia="zh-CN"/>
        </w:rPr>
      </w:pPr>
    </w:p>
    <w:p w14:paraId="0C7D5A4B">
      <w:pPr>
        <w:pStyle w:val="2"/>
        <w:rPr>
          <w:rFonts w:hint="eastAsia" w:ascii="仿宋" w:hAnsi="仿宋" w:eastAsia="仿宋" w:cs="仿宋"/>
          <w:b/>
          <w:color w:val="auto"/>
          <w:sz w:val="28"/>
          <w:szCs w:val="28"/>
          <w:lang w:val="en-US" w:eastAsia="zh-CN"/>
        </w:rPr>
      </w:pPr>
    </w:p>
    <w:p w14:paraId="36AB8206">
      <w:pPr>
        <w:rPr>
          <w:rFonts w:hint="eastAsia" w:ascii="仿宋" w:hAnsi="仿宋" w:eastAsia="仿宋" w:cs="仿宋"/>
          <w:b/>
          <w:color w:val="auto"/>
          <w:sz w:val="28"/>
          <w:szCs w:val="28"/>
          <w:lang w:val="en-US" w:eastAsia="zh-CN"/>
        </w:rPr>
      </w:pPr>
    </w:p>
    <w:p w14:paraId="21409EEC">
      <w:pPr>
        <w:pStyle w:val="2"/>
        <w:rPr>
          <w:rFonts w:hint="eastAsia"/>
          <w:lang w:val="en-US" w:eastAsia="zh-CN"/>
        </w:rPr>
      </w:pPr>
    </w:p>
    <w:p w14:paraId="405131F2">
      <w:pPr>
        <w:numPr>
          <w:ilvl w:val="0"/>
          <w:numId w:val="0"/>
        </w:numPr>
        <w:jc w:val="center"/>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 xml:space="preserve">第四部分  </w:t>
      </w:r>
      <w:r>
        <w:rPr>
          <w:rFonts w:hint="eastAsia" w:ascii="仿宋" w:hAnsi="仿宋" w:eastAsia="仿宋" w:cs="仿宋"/>
          <w:b/>
          <w:color w:val="auto"/>
          <w:sz w:val="28"/>
          <w:szCs w:val="28"/>
          <w:lang w:eastAsia="zh-CN"/>
        </w:rPr>
        <w:t>合  同</w:t>
      </w:r>
    </w:p>
    <w:p w14:paraId="793552BA">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rPr>
        <w:t>（本合同为合同样稿，最终稿由供需双方协商后确定</w:t>
      </w:r>
      <w:r>
        <w:rPr>
          <w:rFonts w:hint="eastAsia" w:ascii="仿宋" w:hAnsi="仿宋" w:eastAsia="仿宋" w:cs="仿宋"/>
          <w:b/>
          <w:bCs/>
          <w:color w:val="auto"/>
          <w:sz w:val="28"/>
          <w:szCs w:val="28"/>
          <w:lang w:eastAsia="zh-CN"/>
        </w:rPr>
        <w:t>）</w:t>
      </w:r>
    </w:p>
    <w:p w14:paraId="6CF718CC">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 xml:space="preserve">                                    </w:t>
      </w:r>
      <w:r>
        <w:rPr>
          <w:rFonts w:hint="eastAsia" w:ascii="仿宋" w:hAnsi="仿宋" w:eastAsia="仿宋" w:cs="仿宋"/>
          <w:b w:val="0"/>
          <w:bCs w:val="0"/>
          <w:color w:val="auto"/>
          <w:sz w:val="28"/>
          <w:szCs w:val="28"/>
          <w:lang w:val="en-US" w:eastAsia="zh-CN"/>
        </w:rPr>
        <w:t xml:space="preserve">    </w:t>
      </w:r>
      <w:r>
        <w:rPr>
          <w:rFonts w:hint="eastAsia" w:ascii="仿宋" w:hAnsi="仿宋" w:eastAsia="仿宋" w:cs="仿宋"/>
          <w:b w:val="0"/>
          <w:bCs w:val="0"/>
          <w:color w:val="auto"/>
          <w:sz w:val="28"/>
          <w:szCs w:val="28"/>
        </w:rPr>
        <w:t>合同编号：</w:t>
      </w:r>
    </w:p>
    <w:p w14:paraId="7D171419">
      <w:pPr>
        <w:keepNext w:val="0"/>
        <w:keepLines w:val="0"/>
        <w:pageBreakBefore w:val="0"/>
        <w:widowControl w:val="0"/>
        <w:shd w:val="clear" w:color="auto" w:fill="auto"/>
        <w:kinsoku/>
        <w:wordWrap/>
        <w:overflowPunct/>
        <w:topLinePunct w:val="0"/>
        <w:autoSpaceDE/>
        <w:autoSpaceDN/>
        <w:bidi w:val="0"/>
        <w:adjustRightInd/>
        <w:spacing w:line="460" w:lineRule="exact"/>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需    方：</w:t>
      </w:r>
    </w:p>
    <w:p w14:paraId="1E8C6A07">
      <w:pPr>
        <w:keepNext w:val="0"/>
        <w:keepLines w:val="0"/>
        <w:pageBreakBefore w:val="0"/>
        <w:widowControl w:val="0"/>
        <w:shd w:val="clear" w:color="auto" w:fill="auto"/>
        <w:kinsoku/>
        <w:wordWrap/>
        <w:overflowPunct/>
        <w:topLinePunct w:val="0"/>
        <w:autoSpaceDE/>
        <w:autoSpaceDN/>
        <w:bidi w:val="0"/>
        <w:adjustRightInd/>
        <w:spacing w:line="460" w:lineRule="exact"/>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供 应 方：</w:t>
      </w:r>
    </w:p>
    <w:p w14:paraId="1BBB691A">
      <w:pPr>
        <w:keepNext w:val="0"/>
        <w:keepLines w:val="0"/>
        <w:pageBreakBefore w:val="0"/>
        <w:widowControl w:val="0"/>
        <w:shd w:val="clear" w:color="auto" w:fill="auto"/>
        <w:kinsoku/>
        <w:wordWrap/>
        <w:overflowPunct/>
        <w:topLinePunct w:val="0"/>
        <w:autoSpaceDE/>
        <w:autoSpaceDN/>
        <w:bidi w:val="0"/>
        <w:adjustRightInd/>
        <w:spacing w:line="460" w:lineRule="exact"/>
        <w:jc w:val="left"/>
        <w:textAlignment w:val="auto"/>
        <w:rPr>
          <w:rFonts w:hint="eastAsia" w:ascii="仿宋" w:hAnsi="仿宋" w:eastAsia="仿宋" w:cs="仿宋"/>
          <w:b w:val="0"/>
          <w:bCs w:val="0"/>
          <w:color w:val="auto"/>
          <w:sz w:val="28"/>
          <w:szCs w:val="28"/>
          <w:u w:val="single"/>
        </w:rPr>
      </w:pPr>
      <w:r>
        <w:rPr>
          <w:rFonts w:hint="eastAsia" w:ascii="仿宋" w:hAnsi="仿宋" w:eastAsia="仿宋" w:cs="仿宋"/>
          <w:b w:val="0"/>
          <w:bCs w:val="0"/>
          <w:color w:val="auto"/>
          <w:sz w:val="28"/>
          <w:szCs w:val="28"/>
        </w:rPr>
        <w:t xml:space="preserve">（代理公司名称）受有关单位委托，为 </w:t>
      </w:r>
      <w:r>
        <w:rPr>
          <w:rFonts w:hint="eastAsia" w:ascii="仿宋" w:hAnsi="仿宋" w:eastAsia="仿宋" w:cs="仿宋"/>
          <w:b w:val="0"/>
          <w:bCs w:val="0"/>
          <w:color w:val="auto"/>
          <w:sz w:val="28"/>
          <w:szCs w:val="28"/>
          <w:u w:val="single"/>
        </w:rPr>
        <w:t xml:space="preserve">  </w:t>
      </w:r>
      <w:r>
        <w:rPr>
          <w:rFonts w:hint="eastAsia" w:ascii="仿宋" w:hAnsi="仿宋" w:eastAsia="仿宋" w:cs="仿宋"/>
          <w:b w:val="0"/>
          <w:bCs w:val="0"/>
          <w:color w:val="auto"/>
          <w:sz w:val="28"/>
          <w:szCs w:val="28"/>
          <w:u w:val="single"/>
          <w:lang w:val="en-US" w:eastAsia="zh-CN"/>
        </w:rPr>
        <w:t xml:space="preserve">               </w:t>
      </w:r>
      <w:r>
        <w:rPr>
          <w:rFonts w:hint="eastAsia" w:ascii="仿宋" w:hAnsi="仿宋" w:eastAsia="仿宋" w:cs="仿宋"/>
          <w:b w:val="0"/>
          <w:bCs w:val="0"/>
          <w:color w:val="auto"/>
          <w:sz w:val="28"/>
          <w:szCs w:val="28"/>
          <w:u w:val="single"/>
        </w:rPr>
        <w:t xml:space="preserve">              </w:t>
      </w:r>
    </w:p>
    <w:p w14:paraId="744199AE">
      <w:pPr>
        <w:keepNext w:val="0"/>
        <w:keepLines w:val="0"/>
        <w:pageBreakBefore w:val="0"/>
        <w:widowControl w:val="0"/>
        <w:shd w:val="clear" w:color="auto" w:fill="auto"/>
        <w:kinsoku/>
        <w:wordWrap/>
        <w:overflowPunct/>
        <w:topLinePunct w:val="0"/>
        <w:autoSpaceDE/>
        <w:autoSpaceDN/>
        <w:bidi w:val="0"/>
        <w:adjustRightInd/>
        <w:spacing w:line="460" w:lineRule="exact"/>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（下称需方）经</w:t>
      </w:r>
      <w:r>
        <w:rPr>
          <w:rFonts w:hint="eastAsia" w:ascii="仿宋" w:hAnsi="仿宋" w:eastAsia="仿宋" w:cs="仿宋"/>
          <w:b w:val="0"/>
          <w:bCs w:val="0"/>
          <w:color w:val="auto"/>
          <w:sz w:val="28"/>
          <w:szCs w:val="28"/>
          <w:lang w:eastAsia="zh-CN"/>
        </w:rPr>
        <w:t>竞争性谈判</w:t>
      </w:r>
      <w:r>
        <w:rPr>
          <w:rFonts w:hint="eastAsia" w:ascii="仿宋" w:hAnsi="仿宋" w:eastAsia="仿宋" w:cs="仿宋"/>
          <w:b w:val="0"/>
          <w:bCs w:val="0"/>
          <w:color w:val="auto"/>
          <w:sz w:val="28"/>
          <w:szCs w:val="28"/>
        </w:rPr>
        <w:t>结果确定</w:t>
      </w:r>
      <w:r>
        <w:rPr>
          <w:rFonts w:hint="eastAsia" w:ascii="仿宋" w:hAnsi="仿宋" w:eastAsia="仿宋" w:cs="仿宋"/>
          <w:b w:val="0"/>
          <w:bCs w:val="0"/>
          <w:color w:val="auto"/>
          <w:sz w:val="28"/>
          <w:szCs w:val="28"/>
          <w:u w:val="single"/>
        </w:rPr>
        <w:t xml:space="preserve">           </w:t>
      </w:r>
      <w:r>
        <w:rPr>
          <w:rFonts w:hint="eastAsia" w:ascii="仿宋" w:hAnsi="仿宋" w:eastAsia="仿宋" w:cs="仿宋"/>
          <w:b w:val="0"/>
          <w:bCs w:val="0"/>
          <w:color w:val="auto"/>
          <w:sz w:val="28"/>
          <w:szCs w:val="28"/>
          <w:u w:val="single"/>
          <w:lang w:val="en-US" w:eastAsia="zh-CN"/>
        </w:rPr>
        <w:t xml:space="preserve">   </w:t>
      </w:r>
      <w:r>
        <w:rPr>
          <w:rFonts w:hint="eastAsia" w:ascii="仿宋" w:hAnsi="仿宋" w:eastAsia="仿宋" w:cs="仿宋"/>
          <w:b w:val="0"/>
          <w:bCs w:val="0"/>
          <w:color w:val="auto"/>
          <w:sz w:val="28"/>
          <w:szCs w:val="28"/>
          <w:u w:val="single"/>
        </w:rPr>
        <w:t xml:space="preserve">    </w:t>
      </w:r>
      <w:r>
        <w:rPr>
          <w:rFonts w:hint="eastAsia" w:ascii="仿宋" w:hAnsi="仿宋" w:eastAsia="仿宋" w:cs="仿宋"/>
          <w:b w:val="0"/>
          <w:bCs w:val="0"/>
          <w:color w:val="auto"/>
          <w:sz w:val="28"/>
          <w:szCs w:val="28"/>
        </w:rPr>
        <w:t>为供应方。现经供需双方充分协商订立本合同。</w:t>
      </w:r>
    </w:p>
    <w:p w14:paraId="727475C5">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一、名称、规格、数量及价款</w:t>
      </w:r>
    </w:p>
    <w:p w14:paraId="578D552A">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 xml:space="preserve">（名称、规格、数量及单价）                           </w:t>
      </w:r>
    </w:p>
    <w:p w14:paraId="321D6C31">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合同总金额          元整（￥      元）。</w:t>
      </w:r>
    </w:p>
    <w:p w14:paraId="71D9A233">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二、质量要求及技术标准</w:t>
      </w:r>
    </w:p>
    <w:p w14:paraId="4BE2CC31">
      <w:pPr>
        <w:keepNext w:val="0"/>
        <w:keepLines w:val="0"/>
        <w:pageBreakBefore w:val="0"/>
        <w:widowControl w:val="0"/>
        <w:shd w:val="clear"/>
        <w:kinsoku/>
        <w:wordWrap/>
        <w:overflowPunct/>
        <w:topLinePunct w:val="0"/>
        <w:autoSpaceDE/>
        <w:autoSpaceDN/>
        <w:bidi w:val="0"/>
        <w:adjustRightInd/>
        <w:snapToGrid/>
        <w:spacing w:before="0" w:after="0" w:line="480" w:lineRule="exact"/>
        <w:ind w:left="0" w:right="0" w:firstLine="570" w:firstLineChars="200"/>
        <w:jc w:val="both"/>
        <w:textAlignment w:val="auto"/>
        <w:rPr>
          <w:rFonts w:hint="eastAsia" w:ascii="仿宋" w:hAnsi="仿宋" w:eastAsia="仿宋" w:cs="仿宋"/>
          <w:b w:val="0"/>
          <w:bCs w:val="0"/>
          <w:color w:val="auto"/>
          <w:spacing w:val="0"/>
          <w:w w:val="100"/>
          <w:kern w:val="2"/>
          <w:position w:val="0"/>
          <w:sz w:val="28"/>
          <w:szCs w:val="28"/>
          <w:shd w:val="clear"/>
          <w:lang w:val="en-US" w:eastAsia="zh-CN" w:bidi="ar-SA"/>
        </w:rPr>
      </w:pPr>
      <w:r>
        <w:rPr>
          <w:rFonts w:hint="eastAsia" w:ascii="仿宋" w:hAnsi="仿宋" w:eastAsia="仿宋" w:cs="仿宋"/>
          <w:b w:val="0"/>
          <w:bCs w:val="0"/>
          <w:color w:val="auto"/>
          <w:spacing w:val="0"/>
          <w:w w:val="100"/>
          <w:kern w:val="2"/>
          <w:position w:val="0"/>
          <w:sz w:val="28"/>
          <w:szCs w:val="28"/>
          <w:shd w:val="clear"/>
          <w:lang w:val="en-US" w:eastAsia="zh-CN" w:bidi="ar-SA"/>
        </w:rPr>
        <w:t>1、投标人应保证用品是全新、未使用过的合格正品,并完全符合国家规定的质量、规格和性能要求。</w:t>
      </w:r>
    </w:p>
    <w:p w14:paraId="00F1E18F">
      <w:pPr>
        <w:keepNext w:val="0"/>
        <w:keepLines w:val="0"/>
        <w:pageBreakBefore w:val="0"/>
        <w:widowControl w:val="0"/>
        <w:shd w:val="clear"/>
        <w:kinsoku/>
        <w:wordWrap/>
        <w:overflowPunct/>
        <w:topLinePunct w:val="0"/>
        <w:autoSpaceDE/>
        <w:autoSpaceDN/>
        <w:bidi w:val="0"/>
        <w:adjustRightInd/>
        <w:snapToGrid/>
        <w:spacing w:before="0" w:after="0" w:line="480" w:lineRule="exact"/>
        <w:ind w:left="0" w:right="0" w:firstLine="570" w:firstLineChars="200"/>
        <w:jc w:val="both"/>
        <w:textAlignment w:val="auto"/>
        <w:rPr>
          <w:rFonts w:hint="eastAsia" w:ascii="仿宋" w:hAnsi="仿宋" w:eastAsia="仿宋" w:cs="仿宋"/>
          <w:b w:val="0"/>
          <w:bCs w:val="0"/>
          <w:color w:val="auto"/>
          <w:spacing w:val="0"/>
          <w:w w:val="100"/>
          <w:kern w:val="2"/>
          <w:position w:val="0"/>
          <w:sz w:val="28"/>
          <w:szCs w:val="28"/>
          <w:shd w:val="clear"/>
          <w:lang w:val="en-US" w:eastAsia="zh-CN" w:bidi="ar-SA"/>
        </w:rPr>
      </w:pPr>
      <w:r>
        <w:rPr>
          <w:rFonts w:hint="eastAsia" w:ascii="仿宋" w:hAnsi="仿宋" w:eastAsia="仿宋" w:cs="仿宋"/>
          <w:b w:val="0"/>
          <w:bCs w:val="0"/>
          <w:color w:val="auto"/>
          <w:spacing w:val="0"/>
          <w:w w:val="100"/>
          <w:kern w:val="2"/>
          <w:position w:val="0"/>
          <w:sz w:val="28"/>
          <w:szCs w:val="28"/>
          <w:shd w:val="clear"/>
          <w:lang w:val="en-US" w:eastAsia="zh-CN" w:bidi="ar-SA"/>
        </w:rPr>
        <w:t>2、投标人提供伪劣假冒商品或非合格全新的，投标人应无条件更换为合格产品。给甲方造成损失的,应承担赔偿责任。</w:t>
      </w:r>
    </w:p>
    <w:p w14:paraId="469CD45A">
      <w:pPr>
        <w:keepNext w:val="0"/>
        <w:keepLines w:val="0"/>
        <w:pageBreakBefore w:val="0"/>
        <w:widowControl w:val="0"/>
        <w:shd w:val="clear"/>
        <w:kinsoku/>
        <w:wordWrap/>
        <w:overflowPunct/>
        <w:topLinePunct w:val="0"/>
        <w:autoSpaceDE/>
        <w:autoSpaceDN/>
        <w:bidi w:val="0"/>
        <w:adjustRightInd/>
        <w:snapToGrid/>
        <w:spacing w:before="0" w:after="0" w:line="480" w:lineRule="exact"/>
        <w:ind w:left="0" w:right="0" w:firstLine="570" w:firstLineChars="200"/>
        <w:jc w:val="both"/>
        <w:textAlignment w:val="auto"/>
        <w:rPr>
          <w:rFonts w:hint="eastAsia" w:ascii="仿宋" w:hAnsi="仿宋" w:eastAsia="仿宋" w:cs="仿宋"/>
          <w:b w:val="0"/>
          <w:bCs w:val="0"/>
          <w:color w:val="auto"/>
          <w:spacing w:val="0"/>
          <w:w w:val="100"/>
          <w:kern w:val="2"/>
          <w:position w:val="0"/>
          <w:sz w:val="28"/>
          <w:szCs w:val="28"/>
          <w:shd w:val="clear"/>
          <w:lang w:val="en-US" w:eastAsia="zh-CN" w:bidi="ar-SA"/>
        </w:rPr>
      </w:pPr>
      <w:r>
        <w:rPr>
          <w:rFonts w:hint="eastAsia" w:ascii="仿宋" w:hAnsi="仿宋" w:eastAsia="仿宋" w:cs="仿宋"/>
          <w:b w:val="0"/>
          <w:bCs w:val="0"/>
          <w:color w:val="auto"/>
          <w:spacing w:val="0"/>
          <w:w w:val="100"/>
          <w:kern w:val="2"/>
          <w:position w:val="0"/>
          <w:sz w:val="28"/>
          <w:szCs w:val="28"/>
          <w:shd w:val="clear"/>
          <w:lang w:val="en-US" w:eastAsia="zh-CN" w:bidi="ar-SA"/>
        </w:rPr>
        <w:t>3、所供货物质量如达不到甲方质量要求的，必须按甲方要求更换，更换至甲方满意为止。</w:t>
      </w:r>
    </w:p>
    <w:p w14:paraId="43E475B7">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三、交货时间、地点</w:t>
      </w:r>
    </w:p>
    <w:p w14:paraId="632C23DC">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货物供应方须在     年  月  日在    交货，并由使用方验收。</w:t>
      </w:r>
    </w:p>
    <w:p w14:paraId="2EC1C15B">
      <w:pPr>
        <w:spacing w:line="360" w:lineRule="auto"/>
        <w:rPr>
          <w:rFonts w:hint="eastAsia" w:ascii="仿宋" w:hAnsi="仿宋" w:eastAsia="仿宋" w:cs="仿宋"/>
          <w:color w:val="auto"/>
          <w:sz w:val="28"/>
          <w:szCs w:val="28"/>
          <w:lang w:val="en-US" w:eastAsia="zh-CN"/>
        </w:rPr>
      </w:pPr>
      <w:r>
        <w:rPr>
          <w:rFonts w:hint="eastAsia" w:ascii="仿宋" w:hAnsi="仿宋" w:eastAsia="仿宋" w:cs="仿宋"/>
          <w:b/>
          <w:bCs/>
          <w:color w:val="auto"/>
          <w:sz w:val="28"/>
          <w:szCs w:val="28"/>
        </w:rPr>
        <w:t>四、</w:t>
      </w:r>
      <w:r>
        <w:rPr>
          <w:rFonts w:hint="eastAsia" w:ascii="仿宋" w:hAnsi="仿宋" w:eastAsia="仿宋" w:cs="仿宋"/>
          <w:b/>
          <w:bCs/>
          <w:color w:val="auto"/>
          <w:sz w:val="28"/>
          <w:szCs w:val="28"/>
          <w:lang w:val="en-US" w:eastAsia="zh-CN"/>
        </w:rPr>
        <w:t>质量技术及验收保证的承诺</w:t>
      </w:r>
    </w:p>
    <w:p w14:paraId="78C7ABDB">
      <w:pPr>
        <w:spacing w:line="360" w:lineRule="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1、产品质量：在合同期内甲方正常使用乙方所供产品而出现质量问题时，乙方负责。产品使用：甲方在使用乙方所供产品中出现问题需乙方解决时，乙方应无偿解决（退换货）。</w:t>
      </w:r>
    </w:p>
    <w:p w14:paraId="116BDB05">
      <w:pPr>
        <w:spacing w:line="360" w:lineRule="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2、验收</w:t>
      </w:r>
    </w:p>
    <w:p w14:paraId="6225D263">
      <w:pPr>
        <w:spacing w:line="360" w:lineRule="auto"/>
        <w:ind w:firstLine="57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①、货物到达现场后，供应商应在使用单位人员在场情况下当面共同清点、检查，作出检查记录，双方签字确认。</w:t>
      </w:r>
    </w:p>
    <w:p w14:paraId="2E07A972">
      <w:pPr>
        <w:spacing w:line="360" w:lineRule="auto"/>
        <w:ind w:firstLine="57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②、供应商提供的货物未达到谈判文件规定要求，且对采购人造成损失的，由供应商承担一切责任，并赔偿所造成的损失。</w:t>
      </w:r>
    </w:p>
    <w:p w14:paraId="5F6B6129">
      <w:pPr>
        <w:spacing w:line="360" w:lineRule="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五、付款方式</w:t>
      </w:r>
    </w:p>
    <w:p w14:paraId="16D5336D">
      <w:pPr>
        <w:shd w:val="clear" w:color="auto" w:fill="auto"/>
        <w:spacing w:line="360" w:lineRule="auto"/>
        <w:ind w:firstLine="570" w:firstLineChars="200"/>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签订合同后支付合同价款的30%,供货完成安装验收合格后支付剩余合同价款70%。（具体以甲乙双方签订采购合同为准）</w:t>
      </w:r>
    </w:p>
    <w:p w14:paraId="0412A192">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六</w:t>
      </w:r>
      <w:r>
        <w:rPr>
          <w:rFonts w:hint="eastAsia" w:ascii="仿宋" w:hAnsi="仿宋" w:eastAsia="仿宋" w:cs="仿宋"/>
          <w:b/>
          <w:bCs/>
          <w:color w:val="auto"/>
          <w:sz w:val="28"/>
          <w:szCs w:val="28"/>
        </w:rPr>
        <w:t>、违约责任</w:t>
      </w:r>
    </w:p>
    <w:p w14:paraId="56D6213C">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1、违反买卖合同者，应承担违约责任，向对方支付合同金额20﹪的违约金。供应方逾期供货，每逾期一天，按合同金额的0.2﹪向使用方支付违约金，逾期超过十五天时，视为供应方不能交货，需方有权解除合同，供应方应承担违约责任，向需方支付合同金额20﹪的违约金。需方验收完毕后，需方须在五个工作日内按付款方式付款，否则，每逾期一天向供应方支付逾期金额0.2﹪的违约金。</w:t>
      </w:r>
    </w:p>
    <w:p w14:paraId="58A83BFB">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2、如有质量问题时需方可以按照供应方</w:t>
      </w:r>
      <w:r>
        <w:rPr>
          <w:rFonts w:hint="eastAsia" w:ascii="仿宋" w:hAnsi="仿宋" w:eastAsia="仿宋" w:cs="仿宋"/>
          <w:b w:val="0"/>
          <w:bCs w:val="0"/>
          <w:color w:val="auto"/>
          <w:sz w:val="28"/>
          <w:szCs w:val="28"/>
          <w:lang w:eastAsia="zh-CN"/>
        </w:rPr>
        <w:t>响应文件</w:t>
      </w:r>
      <w:r>
        <w:rPr>
          <w:rFonts w:hint="eastAsia" w:ascii="仿宋" w:hAnsi="仿宋" w:eastAsia="仿宋" w:cs="仿宋"/>
          <w:b w:val="0"/>
          <w:bCs w:val="0"/>
          <w:color w:val="auto"/>
          <w:sz w:val="28"/>
          <w:szCs w:val="28"/>
        </w:rPr>
        <w:t>的服务承诺扣除相关费用。</w:t>
      </w:r>
    </w:p>
    <w:p w14:paraId="48E095DF">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3、其它违约，按《中华人民共和国</w:t>
      </w:r>
      <w:r>
        <w:rPr>
          <w:rFonts w:hint="eastAsia" w:ascii="仿宋" w:hAnsi="仿宋" w:eastAsia="仿宋" w:cs="仿宋"/>
          <w:b w:val="0"/>
          <w:bCs w:val="0"/>
          <w:color w:val="auto"/>
          <w:sz w:val="28"/>
          <w:szCs w:val="28"/>
          <w:lang w:val="en-US" w:eastAsia="zh-CN"/>
        </w:rPr>
        <w:t>民法典</w:t>
      </w:r>
      <w:r>
        <w:rPr>
          <w:rFonts w:hint="eastAsia" w:ascii="仿宋" w:hAnsi="仿宋" w:eastAsia="仿宋" w:cs="仿宋"/>
          <w:b w:val="0"/>
          <w:bCs w:val="0"/>
          <w:color w:val="auto"/>
          <w:sz w:val="28"/>
          <w:szCs w:val="28"/>
        </w:rPr>
        <w:t>》的相关条款执行。</w:t>
      </w:r>
    </w:p>
    <w:p w14:paraId="181ABC3E">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七</w:t>
      </w:r>
      <w:r>
        <w:rPr>
          <w:rFonts w:hint="eastAsia" w:ascii="仿宋" w:hAnsi="仿宋" w:eastAsia="仿宋" w:cs="仿宋"/>
          <w:b/>
          <w:bCs/>
          <w:color w:val="auto"/>
          <w:sz w:val="28"/>
          <w:szCs w:val="28"/>
        </w:rPr>
        <w:t>、解决合同纠纷的方式</w:t>
      </w:r>
    </w:p>
    <w:p w14:paraId="2F82BBC3">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当出现纠纷时，双方协商解决；协商不成时可向当地仲裁机关申请仲裁。</w:t>
      </w:r>
    </w:p>
    <w:p w14:paraId="1AAD65E3">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八</w:t>
      </w:r>
      <w:r>
        <w:rPr>
          <w:rFonts w:hint="eastAsia" w:ascii="仿宋" w:hAnsi="仿宋" w:eastAsia="仿宋" w:cs="仿宋"/>
          <w:b/>
          <w:bCs/>
          <w:color w:val="auto"/>
          <w:sz w:val="28"/>
          <w:szCs w:val="28"/>
        </w:rPr>
        <w:t>、技术协议</w:t>
      </w:r>
    </w:p>
    <w:p w14:paraId="1700DD2E">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附技术协议（另定）</w:t>
      </w:r>
    </w:p>
    <w:p w14:paraId="087EF122">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九</w:t>
      </w:r>
      <w:r>
        <w:rPr>
          <w:rFonts w:hint="eastAsia" w:ascii="仿宋" w:hAnsi="仿宋" w:eastAsia="仿宋" w:cs="仿宋"/>
          <w:b/>
          <w:bCs/>
          <w:color w:val="auto"/>
          <w:sz w:val="28"/>
          <w:szCs w:val="28"/>
        </w:rPr>
        <w:t>、其它约定事项</w:t>
      </w:r>
    </w:p>
    <w:p w14:paraId="78E65053">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1、本合同壹式叁份，经双方法定代表人或授权代理人</w:t>
      </w:r>
      <w:r>
        <w:rPr>
          <w:rFonts w:hint="eastAsia" w:ascii="仿宋" w:hAnsi="仿宋" w:eastAsia="仿宋" w:cs="仿宋"/>
          <w:b w:val="0"/>
          <w:bCs w:val="0"/>
          <w:color w:val="auto"/>
          <w:sz w:val="28"/>
          <w:szCs w:val="28"/>
          <w:lang w:eastAsia="zh-CN"/>
        </w:rPr>
        <w:t>签字或盖章</w:t>
      </w:r>
      <w:r>
        <w:rPr>
          <w:rFonts w:hint="eastAsia" w:ascii="仿宋" w:hAnsi="仿宋" w:eastAsia="仿宋" w:cs="仿宋"/>
          <w:b w:val="0"/>
          <w:bCs w:val="0"/>
          <w:color w:val="auto"/>
          <w:sz w:val="28"/>
          <w:szCs w:val="28"/>
        </w:rPr>
        <w:t>，州政府采购中心鉴证后生效。</w:t>
      </w:r>
    </w:p>
    <w:p w14:paraId="717C4A99">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2、本合同一式三份，供应方执一份，需方执</w:t>
      </w:r>
      <w:r>
        <w:rPr>
          <w:rFonts w:hint="eastAsia" w:ascii="仿宋" w:hAnsi="仿宋" w:eastAsia="仿宋" w:cs="仿宋"/>
          <w:b w:val="0"/>
          <w:bCs w:val="0"/>
          <w:color w:val="auto"/>
          <w:sz w:val="28"/>
          <w:szCs w:val="28"/>
          <w:lang w:eastAsia="zh-CN"/>
        </w:rPr>
        <w:t>二</w:t>
      </w:r>
      <w:r>
        <w:rPr>
          <w:rFonts w:hint="eastAsia" w:ascii="仿宋" w:hAnsi="仿宋" w:eastAsia="仿宋" w:cs="仿宋"/>
          <w:b w:val="0"/>
          <w:bCs w:val="0"/>
          <w:color w:val="auto"/>
          <w:sz w:val="28"/>
          <w:szCs w:val="28"/>
        </w:rPr>
        <w:t>份，</w:t>
      </w:r>
    </w:p>
    <w:p w14:paraId="58DCA18C">
      <w:pPr>
        <w:shd w:val="clear" w:color="auto" w:fill="auto"/>
        <w:spacing w:line="360" w:lineRule="auto"/>
        <w:ind w:firstLine="570" w:firstLineChars="200"/>
        <w:jc w:val="left"/>
        <w:rPr>
          <w:rFonts w:hint="eastAsia" w:ascii="仿宋" w:hAnsi="仿宋" w:eastAsia="仿宋" w:cs="仿宋"/>
          <w:color w:val="auto"/>
          <w:sz w:val="28"/>
          <w:szCs w:val="28"/>
        </w:rPr>
      </w:pPr>
      <w:r>
        <w:rPr>
          <w:rFonts w:hint="eastAsia" w:ascii="仿宋" w:hAnsi="仿宋" w:eastAsia="仿宋" w:cs="仿宋"/>
          <w:b w:val="0"/>
          <w:bCs w:val="0"/>
          <w:color w:val="auto"/>
          <w:sz w:val="28"/>
          <w:szCs w:val="28"/>
        </w:rPr>
        <w:t>3、相关</w:t>
      </w:r>
      <w:r>
        <w:rPr>
          <w:rFonts w:hint="eastAsia" w:ascii="仿宋" w:hAnsi="仿宋" w:eastAsia="仿宋" w:cs="仿宋"/>
          <w:b w:val="0"/>
          <w:bCs w:val="0"/>
          <w:color w:val="auto"/>
          <w:sz w:val="28"/>
          <w:szCs w:val="28"/>
          <w:lang w:eastAsia="zh-CN"/>
        </w:rPr>
        <w:t>谈判文件</w:t>
      </w:r>
      <w:r>
        <w:rPr>
          <w:rFonts w:hint="eastAsia" w:ascii="仿宋" w:hAnsi="仿宋" w:eastAsia="仿宋" w:cs="仿宋"/>
          <w:b w:val="0"/>
          <w:bCs w:val="0"/>
          <w:color w:val="auto"/>
          <w:sz w:val="28"/>
          <w:szCs w:val="28"/>
        </w:rPr>
        <w:t>、</w:t>
      </w:r>
      <w:r>
        <w:rPr>
          <w:rFonts w:hint="eastAsia" w:ascii="仿宋" w:hAnsi="仿宋" w:eastAsia="仿宋" w:cs="仿宋"/>
          <w:b w:val="0"/>
          <w:bCs w:val="0"/>
          <w:color w:val="auto"/>
          <w:sz w:val="28"/>
          <w:szCs w:val="28"/>
          <w:lang w:eastAsia="zh-CN"/>
        </w:rPr>
        <w:t>响应文件</w:t>
      </w:r>
      <w:r>
        <w:rPr>
          <w:rFonts w:hint="eastAsia" w:ascii="仿宋" w:hAnsi="仿宋" w:eastAsia="仿宋" w:cs="仿宋"/>
          <w:b w:val="0"/>
          <w:bCs w:val="0"/>
          <w:color w:val="auto"/>
          <w:sz w:val="28"/>
          <w:szCs w:val="28"/>
        </w:rPr>
        <w:t>与本合同具有同等法律效力。</w:t>
      </w:r>
    </w:p>
    <w:p w14:paraId="6C09BC8C">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供  应  方：                               需     方：</w:t>
      </w:r>
    </w:p>
    <w:p w14:paraId="37611535">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法定代表人：                               法定代表人：</w:t>
      </w:r>
    </w:p>
    <w:p w14:paraId="4F2F597F">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单位 地址：                                 单位 地址：</w:t>
      </w:r>
    </w:p>
    <w:p w14:paraId="7FF75FC6">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联系 电话：                                 联系 电话：</w:t>
      </w:r>
    </w:p>
    <w:p w14:paraId="0257C980">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开户 银行：                                 开户 银行：</w:t>
      </w:r>
    </w:p>
    <w:p w14:paraId="41182C90">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账     号：                                 账     号：</w:t>
      </w:r>
    </w:p>
    <w:p w14:paraId="23C40BF7">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签约时间：                                   签约地点：</w:t>
      </w:r>
    </w:p>
    <w:p w14:paraId="311CA8BA">
      <w:pPr>
        <w:pStyle w:val="26"/>
        <w:keepNext/>
        <w:keepLines/>
        <w:spacing w:before="0" w:after="1160"/>
        <w:jc w:val="both"/>
        <w:rPr>
          <w:rFonts w:hint="eastAsia" w:ascii="仿宋" w:hAnsi="仿宋" w:eastAsia="仿宋" w:cs="仿宋"/>
          <w:b/>
          <w:bCs/>
          <w:color w:val="auto"/>
          <w:sz w:val="28"/>
          <w:szCs w:val="28"/>
        </w:rPr>
      </w:pPr>
    </w:p>
    <w:p w14:paraId="6F9B9AE5">
      <w:pPr>
        <w:pStyle w:val="26"/>
        <w:keepNext/>
        <w:keepLines/>
        <w:spacing w:before="0" w:after="1160"/>
        <w:jc w:val="both"/>
        <w:rPr>
          <w:rFonts w:hint="eastAsia" w:ascii="仿宋" w:hAnsi="仿宋" w:eastAsia="仿宋" w:cs="仿宋"/>
          <w:b/>
          <w:bCs/>
          <w:color w:val="auto"/>
          <w:sz w:val="28"/>
          <w:szCs w:val="28"/>
        </w:rPr>
      </w:pPr>
    </w:p>
    <w:p w14:paraId="6FB1FC90">
      <w:pPr>
        <w:adjustRightInd w:val="0"/>
        <w:snapToGrid w:val="0"/>
        <w:spacing w:line="360" w:lineRule="auto"/>
        <w:jc w:val="center"/>
        <w:rPr>
          <w:rFonts w:hint="eastAsia" w:ascii="仿宋" w:hAnsi="仿宋" w:eastAsia="仿宋" w:cs="仿宋"/>
          <w:b/>
          <w:caps/>
          <w:color w:val="auto"/>
          <w:sz w:val="28"/>
          <w:szCs w:val="28"/>
        </w:rPr>
      </w:pPr>
      <w:bookmarkStart w:id="79" w:name="bookmark196"/>
    </w:p>
    <w:p w14:paraId="31727299">
      <w:pPr>
        <w:adjustRightInd w:val="0"/>
        <w:snapToGrid w:val="0"/>
        <w:spacing w:line="360" w:lineRule="auto"/>
        <w:jc w:val="center"/>
        <w:rPr>
          <w:rFonts w:hint="eastAsia" w:ascii="仿宋" w:hAnsi="仿宋" w:eastAsia="仿宋" w:cs="仿宋"/>
          <w:b/>
          <w:caps/>
          <w:color w:val="auto"/>
          <w:sz w:val="28"/>
          <w:szCs w:val="28"/>
        </w:rPr>
      </w:pPr>
    </w:p>
    <w:p w14:paraId="74DB3180">
      <w:pPr>
        <w:adjustRightInd w:val="0"/>
        <w:snapToGrid w:val="0"/>
        <w:spacing w:line="360" w:lineRule="auto"/>
        <w:jc w:val="center"/>
        <w:rPr>
          <w:rFonts w:hint="eastAsia" w:ascii="仿宋" w:hAnsi="仿宋" w:eastAsia="仿宋" w:cs="仿宋"/>
          <w:b/>
          <w:caps/>
          <w:color w:val="auto"/>
          <w:sz w:val="28"/>
          <w:szCs w:val="28"/>
        </w:rPr>
      </w:pPr>
    </w:p>
    <w:p w14:paraId="139F2BF9">
      <w:pPr>
        <w:adjustRightInd w:val="0"/>
        <w:snapToGrid w:val="0"/>
        <w:spacing w:line="360" w:lineRule="auto"/>
        <w:jc w:val="center"/>
        <w:rPr>
          <w:rFonts w:hint="eastAsia" w:ascii="仿宋" w:hAnsi="仿宋" w:eastAsia="仿宋" w:cs="仿宋"/>
          <w:b/>
          <w:caps/>
          <w:color w:val="auto"/>
          <w:sz w:val="28"/>
          <w:szCs w:val="28"/>
        </w:rPr>
      </w:pPr>
    </w:p>
    <w:p w14:paraId="4E19E959">
      <w:pPr>
        <w:pStyle w:val="26"/>
        <w:keepNext/>
        <w:keepLines/>
        <w:spacing w:before="0" w:after="1160"/>
        <w:jc w:val="both"/>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部分</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响应文件</w:t>
      </w:r>
      <w:r>
        <w:rPr>
          <w:rFonts w:hint="eastAsia" w:ascii="仿宋" w:hAnsi="仿宋" w:eastAsia="仿宋" w:cs="仿宋"/>
          <w:b/>
          <w:bCs/>
          <w:color w:val="auto"/>
          <w:sz w:val="28"/>
          <w:szCs w:val="28"/>
        </w:rPr>
        <w:t>格式</w:t>
      </w:r>
    </w:p>
    <w:p w14:paraId="5DBD3647">
      <w:pPr>
        <w:adjustRightInd w:val="0"/>
        <w:snapToGrid w:val="0"/>
        <w:spacing w:line="360" w:lineRule="auto"/>
        <w:jc w:val="center"/>
        <w:rPr>
          <w:rFonts w:hint="eastAsia" w:ascii="仿宋" w:hAnsi="仿宋" w:eastAsia="仿宋" w:cs="仿宋"/>
          <w:bCs/>
          <w:color w:val="auto"/>
          <w:sz w:val="28"/>
          <w:szCs w:val="28"/>
        </w:rPr>
      </w:pPr>
      <w:r>
        <w:rPr>
          <w:rFonts w:hint="eastAsia" w:ascii="仿宋" w:hAnsi="仿宋" w:eastAsia="仿宋" w:cs="仿宋"/>
          <w:b/>
          <w:caps/>
          <w:color w:val="auto"/>
          <w:sz w:val="28"/>
          <w:szCs w:val="28"/>
        </w:rPr>
        <w:t>（项目名称）</w:t>
      </w:r>
    </w:p>
    <w:p w14:paraId="7C578DFB">
      <w:pPr>
        <w:adjustRightInd w:val="0"/>
        <w:snapToGrid w:val="0"/>
        <w:spacing w:line="360" w:lineRule="auto"/>
        <w:jc w:val="both"/>
        <w:rPr>
          <w:rFonts w:hint="eastAsia" w:ascii="仿宋" w:hAnsi="仿宋" w:eastAsia="仿宋" w:cs="仿宋"/>
          <w:bCs/>
          <w:color w:val="auto"/>
          <w:sz w:val="28"/>
          <w:szCs w:val="28"/>
        </w:rPr>
      </w:pPr>
    </w:p>
    <w:p w14:paraId="1DCA216A">
      <w:pPr>
        <w:adjustRightInd w:val="0"/>
        <w:snapToGrid w:val="0"/>
        <w:spacing w:line="360" w:lineRule="auto"/>
        <w:jc w:val="center"/>
        <w:rPr>
          <w:rFonts w:hint="eastAsia" w:ascii="仿宋" w:hAnsi="仿宋" w:eastAsia="仿宋" w:cs="仿宋"/>
          <w:bCs/>
          <w:color w:val="auto"/>
          <w:sz w:val="28"/>
          <w:szCs w:val="28"/>
        </w:rPr>
      </w:pPr>
    </w:p>
    <w:p w14:paraId="2FE014D4">
      <w:pPr>
        <w:adjustRightInd w:val="0"/>
        <w:snapToGrid w:val="0"/>
        <w:spacing w:line="360" w:lineRule="auto"/>
        <w:jc w:val="center"/>
        <w:rPr>
          <w:rFonts w:hint="eastAsia" w:ascii="仿宋" w:hAnsi="仿宋" w:eastAsia="仿宋" w:cs="仿宋"/>
          <w:bCs/>
          <w:color w:val="auto"/>
          <w:sz w:val="28"/>
          <w:szCs w:val="28"/>
        </w:rPr>
      </w:pPr>
      <w:r>
        <w:rPr>
          <w:rFonts w:hint="eastAsia" w:ascii="仿宋" w:hAnsi="仿宋" w:eastAsia="仿宋" w:cs="仿宋"/>
          <w:b/>
          <w:bCs/>
          <w:color w:val="auto"/>
          <w:sz w:val="28"/>
          <w:szCs w:val="28"/>
        </w:rPr>
        <w:t>响应文件</w:t>
      </w:r>
    </w:p>
    <w:p w14:paraId="12EFC64A">
      <w:pPr>
        <w:adjustRightInd w:val="0"/>
        <w:snapToGrid w:val="0"/>
        <w:spacing w:line="360" w:lineRule="auto"/>
        <w:jc w:val="center"/>
        <w:rPr>
          <w:rFonts w:hint="eastAsia" w:ascii="仿宋" w:hAnsi="仿宋" w:eastAsia="仿宋" w:cs="仿宋"/>
          <w:bCs/>
          <w:color w:val="auto"/>
          <w:sz w:val="28"/>
          <w:szCs w:val="28"/>
        </w:rPr>
      </w:pPr>
    </w:p>
    <w:p w14:paraId="751BB7BC">
      <w:pPr>
        <w:adjustRightInd w:val="0"/>
        <w:snapToGrid w:val="0"/>
        <w:spacing w:line="360" w:lineRule="auto"/>
        <w:jc w:val="both"/>
        <w:rPr>
          <w:rFonts w:hint="eastAsia" w:ascii="仿宋" w:hAnsi="仿宋" w:eastAsia="仿宋" w:cs="仿宋"/>
          <w:bCs/>
          <w:color w:val="auto"/>
          <w:sz w:val="28"/>
          <w:szCs w:val="28"/>
        </w:rPr>
      </w:pPr>
    </w:p>
    <w:p w14:paraId="3FC42C7A">
      <w:pPr>
        <w:adjustRightInd w:val="0"/>
        <w:snapToGrid w:val="0"/>
        <w:spacing w:line="360" w:lineRule="auto"/>
        <w:ind w:right="-156" w:rightChars="-64"/>
        <w:rPr>
          <w:rFonts w:hint="eastAsia" w:ascii="仿宋" w:hAnsi="仿宋" w:eastAsia="仿宋" w:cs="仿宋"/>
          <w:b/>
          <w:caps/>
          <w:color w:val="auto"/>
          <w:sz w:val="28"/>
          <w:szCs w:val="28"/>
        </w:rPr>
      </w:pPr>
      <w:r>
        <w:rPr>
          <w:rFonts w:hint="eastAsia" w:ascii="仿宋" w:hAnsi="仿宋" w:eastAsia="仿宋" w:cs="仿宋"/>
          <w:b/>
          <w:caps/>
          <w:color w:val="auto"/>
          <w:spacing w:val="0"/>
          <w:kern w:val="0"/>
          <w:sz w:val="28"/>
          <w:szCs w:val="28"/>
          <w:fitText w:val="2810" w:id="202655923"/>
        </w:rPr>
        <w:t>供应商名称（公章）：</w:t>
      </w:r>
    </w:p>
    <w:p w14:paraId="35D28A51">
      <w:pPr>
        <w:adjustRightInd w:val="0"/>
        <w:snapToGrid w:val="0"/>
        <w:spacing w:line="360" w:lineRule="auto"/>
        <w:ind w:right="-156" w:rightChars="-64"/>
        <w:rPr>
          <w:rFonts w:hint="eastAsia" w:ascii="仿宋" w:hAnsi="仿宋" w:eastAsia="仿宋" w:cs="仿宋"/>
          <w:b/>
          <w:caps/>
          <w:color w:val="auto"/>
          <w:sz w:val="28"/>
          <w:szCs w:val="28"/>
        </w:rPr>
      </w:pPr>
    </w:p>
    <w:p w14:paraId="358AFFAA">
      <w:pPr>
        <w:adjustRightInd w:val="0"/>
        <w:snapToGrid w:val="0"/>
        <w:spacing w:line="360" w:lineRule="auto"/>
        <w:ind w:right="-156" w:rightChars="-64"/>
        <w:rPr>
          <w:rFonts w:hint="eastAsia" w:ascii="仿宋" w:hAnsi="仿宋" w:eastAsia="仿宋" w:cs="仿宋"/>
          <w:b/>
          <w:caps/>
          <w:color w:val="auto"/>
          <w:sz w:val="28"/>
          <w:szCs w:val="28"/>
        </w:rPr>
      </w:pPr>
      <w:r>
        <w:rPr>
          <w:rFonts w:hint="eastAsia" w:ascii="仿宋" w:hAnsi="仿宋" w:eastAsia="仿宋" w:cs="仿宋"/>
          <w:b/>
          <w:caps/>
          <w:color w:val="auto"/>
          <w:spacing w:val="0"/>
          <w:w w:val="77"/>
          <w:kern w:val="0"/>
          <w:sz w:val="28"/>
          <w:szCs w:val="28"/>
          <w:fitText w:val="2810" w:id="1"/>
        </w:rPr>
        <w:t>法定代表人（</w:t>
      </w:r>
      <w:r>
        <w:rPr>
          <w:rFonts w:hint="eastAsia" w:ascii="仿宋" w:hAnsi="仿宋" w:eastAsia="仿宋" w:cs="仿宋"/>
          <w:b/>
          <w:caps/>
          <w:color w:val="auto"/>
          <w:spacing w:val="0"/>
          <w:w w:val="77"/>
          <w:kern w:val="0"/>
          <w:sz w:val="28"/>
          <w:szCs w:val="28"/>
          <w:fitText w:val="2810" w:id="1"/>
          <w:lang w:eastAsia="zh-CN"/>
        </w:rPr>
        <w:t>签章</w:t>
      </w:r>
      <w:r>
        <w:rPr>
          <w:rFonts w:hint="eastAsia" w:ascii="仿宋" w:hAnsi="仿宋" w:eastAsia="仿宋" w:cs="仿宋"/>
          <w:b/>
          <w:caps/>
          <w:color w:val="auto"/>
          <w:spacing w:val="0"/>
          <w:w w:val="77"/>
          <w:kern w:val="0"/>
          <w:sz w:val="28"/>
          <w:szCs w:val="28"/>
          <w:fitText w:val="2810" w:id="1"/>
        </w:rPr>
        <w:t>或盖章）</w:t>
      </w:r>
      <w:r>
        <w:rPr>
          <w:rFonts w:hint="eastAsia" w:ascii="仿宋" w:hAnsi="仿宋" w:eastAsia="仿宋" w:cs="仿宋"/>
          <w:b/>
          <w:caps/>
          <w:color w:val="auto"/>
          <w:spacing w:val="-1"/>
          <w:w w:val="77"/>
          <w:kern w:val="0"/>
          <w:sz w:val="28"/>
          <w:szCs w:val="28"/>
          <w:fitText w:val="2810" w:id="1"/>
        </w:rPr>
        <w:t>：</w:t>
      </w:r>
    </w:p>
    <w:p w14:paraId="7269D1DF">
      <w:pPr>
        <w:adjustRightInd w:val="0"/>
        <w:snapToGrid w:val="0"/>
        <w:spacing w:line="360" w:lineRule="auto"/>
        <w:ind w:right="-156" w:rightChars="-64"/>
        <w:rPr>
          <w:rFonts w:hint="eastAsia" w:ascii="仿宋" w:hAnsi="仿宋" w:eastAsia="仿宋" w:cs="仿宋"/>
          <w:b/>
          <w:caps/>
          <w:color w:val="auto"/>
          <w:sz w:val="28"/>
          <w:szCs w:val="28"/>
        </w:rPr>
      </w:pPr>
    </w:p>
    <w:p w14:paraId="7D98B60F">
      <w:pPr>
        <w:adjustRightInd w:val="0"/>
        <w:snapToGrid w:val="0"/>
        <w:spacing w:line="360" w:lineRule="auto"/>
        <w:ind w:right="-156" w:rightChars="-64"/>
        <w:rPr>
          <w:rFonts w:hint="eastAsia" w:ascii="仿宋" w:hAnsi="仿宋" w:eastAsia="仿宋" w:cs="仿宋"/>
          <w:b/>
          <w:caps/>
          <w:color w:val="auto"/>
          <w:sz w:val="28"/>
          <w:szCs w:val="28"/>
        </w:rPr>
      </w:pPr>
      <w:r>
        <w:rPr>
          <w:rFonts w:hint="eastAsia" w:ascii="仿宋" w:hAnsi="仿宋" w:eastAsia="仿宋" w:cs="仿宋"/>
          <w:b/>
          <w:caps/>
          <w:color w:val="auto"/>
          <w:spacing w:val="113"/>
          <w:kern w:val="0"/>
          <w:sz w:val="28"/>
          <w:szCs w:val="28"/>
          <w:fitText w:val="2810" w:id="2"/>
        </w:rPr>
        <w:t>供应商地址</w:t>
      </w:r>
      <w:r>
        <w:rPr>
          <w:rFonts w:hint="eastAsia" w:ascii="仿宋" w:hAnsi="仿宋" w:eastAsia="仿宋" w:cs="仿宋"/>
          <w:b/>
          <w:caps/>
          <w:color w:val="auto"/>
          <w:spacing w:val="0"/>
          <w:kern w:val="0"/>
          <w:sz w:val="28"/>
          <w:szCs w:val="28"/>
          <w:fitText w:val="2810" w:id="2"/>
        </w:rPr>
        <w:t>：</w:t>
      </w:r>
    </w:p>
    <w:p w14:paraId="4BF733DD">
      <w:pPr>
        <w:adjustRightInd w:val="0"/>
        <w:snapToGrid w:val="0"/>
        <w:spacing w:line="360" w:lineRule="auto"/>
        <w:ind w:right="-156" w:rightChars="-64"/>
        <w:rPr>
          <w:rFonts w:hint="eastAsia" w:ascii="仿宋" w:hAnsi="仿宋" w:eastAsia="仿宋" w:cs="仿宋"/>
          <w:b/>
          <w:caps/>
          <w:color w:val="auto"/>
          <w:sz w:val="28"/>
          <w:szCs w:val="28"/>
        </w:rPr>
      </w:pPr>
    </w:p>
    <w:p w14:paraId="29D42252">
      <w:pPr>
        <w:adjustRightInd w:val="0"/>
        <w:snapToGrid w:val="0"/>
        <w:spacing w:line="360" w:lineRule="auto"/>
        <w:ind w:right="-156" w:rightChars="-64"/>
        <w:rPr>
          <w:rFonts w:hint="eastAsia" w:ascii="仿宋" w:hAnsi="仿宋" w:eastAsia="仿宋" w:cs="仿宋"/>
          <w:b/>
          <w:caps/>
          <w:color w:val="auto"/>
          <w:sz w:val="28"/>
          <w:szCs w:val="28"/>
        </w:rPr>
      </w:pPr>
      <w:r>
        <w:rPr>
          <w:rFonts w:hint="eastAsia" w:ascii="仿宋" w:hAnsi="仿宋" w:eastAsia="仿宋" w:cs="仿宋"/>
          <w:b/>
          <w:caps/>
          <w:color w:val="auto"/>
          <w:spacing w:val="281"/>
          <w:kern w:val="0"/>
          <w:sz w:val="28"/>
          <w:szCs w:val="28"/>
          <w:fitText w:val="2810" w:id="3"/>
        </w:rPr>
        <w:t>联系人</w:t>
      </w:r>
      <w:r>
        <w:rPr>
          <w:rFonts w:hint="eastAsia" w:ascii="仿宋" w:hAnsi="仿宋" w:eastAsia="仿宋" w:cs="仿宋"/>
          <w:b/>
          <w:caps/>
          <w:color w:val="auto"/>
          <w:spacing w:val="2"/>
          <w:kern w:val="0"/>
          <w:sz w:val="28"/>
          <w:szCs w:val="28"/>
          <w:fitText w:val="2810" w:id="3"/>
        </w:rPr>
        <w:t>：</w:t>
      </w:r>
    </w:p>
    <w:p w14:paraId="638CDE12">
      <w:pPr>
        <w:adjustRightInd w:val="0"/>
        <w:snapToGrid w:val="0"/>
        <w:spacing w:line="360" w:lineRule="auto"/>
        <w:ind w:right="-156" w:rightChars="-64"/>
        <w:rPr>
          <w:rFonts w:hint="eastAsia" w:ascii="仿宋" w:hAnsi="仿宋" w:eastAsia="仿宋" w:cs="仿宋"/>
          <w:b/>
          <w:caps/>
          <w:color w:val="auto"/>
          <w:sz w:val="28"/>
          <w:szCs w:val="28"/>
        </w:rPr>
      </w:pPr>
    </w:p>
    <w:p w14:paraId="29F3DBBB">
      <w:pPr>
        <w:adjustRightInd w:val="0"/>
        <w:snapToGrid w:val="0"/>
        <w:spacing w:line="360" w:lineRule="auto"/>
        <w:ind w:right="-156" w:rightChars="-64"/>
        <w:rPr>
          <w:rFonts w:hint="eastAsia" w:ascii="仿宋" w:hAnsi="仿宋" w:eastAsia="仿宋" w:cs="仿宋"/>
          <w:b/>
          <w:caps/>
          <w:color w:val="auto"/>
          <w:sz w:val="28"/>
          <w:szCs w:val="28"/>
        </w:rPr>
      </w:pPr>
      <w:r>
        <w:rPr>
          <w:rFonts w:hint="eastAsia" w:ascii="仿宋" w:hAnsi="仿宋" w:eastAsia="仿宋" w:cs="仿宋"/>
          <w:b/>
          <w:caps/>
          <w:color w:val="auto"/>
          <w:spacing w:val="176"/>
          <w:kern w:val="0"/>
          <w:sz w:val="28"/>
          <w:szCs w:val="28"/>
          <w:fitText w:val="2810" w:id="4"/>
        </w:rPr>
        <w:t>联系电话</w:t>
      </w:r>
      <w:r>
        <w:rPr>
          <w:rFonts w:hint="eastAsia" w:ascii="仿宋" w:hAnsi="仿宋" w:eastAsia="仿宋" w:cs="仿宋"/>
          <w:b/>
          <w:caps/>
          <w:color w:val="auto"/>
          <w:spacing w:val="1"/>
          <w:kern w:val="0"/>
          <w:sz w:val="28"/>
          <w:szCs w:val="28"/>
          <w:fitText w:val="2810" w:id="4"/>
        </w:rPr>
        <w:t>：</w:t>
      </w:r>
    </w:p>
    <w:p w14:paraId="55D14355">
      <w:pPr>
        <w:adjustRightInd w:val="0"/>
        <w:snapToGrid w:val="0"/>
        <w:spacing w:line="360" w:lineRule="auto"/>
        <w:jc w:val="center"/>
        <w:rPr>
          <w:rFonts w:hint="eastAsia" w:ascii="仿宋" w:hAnsi="仿宋" w:eastAsia="仿宋" w:cs="仿宋"/>
          <w:b/>
          <w:caps/>
          <w:color w:val="auto"/>
          <w:sz w:val="28"/>
          <w:szCs w:val="28"/>
        </w:rPr>
      </w:pPr>
    </w:p>
    <w:p w14:paraId="1E105667">
      <w:pPr>
        <w:adjustRightInd w:val="0"/>
        <w:snapToGrid w:val="0"/>
        <w:spacing w:line="360" w:lineRule="auto"/>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_</w:t>
      </w:r>
      <w:r>
        <w:rPr>
          <w:rFonts w:hint="eastAsia" w:ascii="仿宋" w:hAnsi="仿宋" w:eastAsia="仿宋" w:cs="仿宋"/>
          <w:b/>
          <w:color w:val="auto"/>
          <w:sz w:val="28"/>
          <w:szCs w:val="28"/>
          <w:u w:val="single"/>
        </w:rPr>
        <w:t xml:space="preserve">    </w:t>
      </w:r>
      <w:r>
        <w:rPr>
          <w:rFonts w:hint="eastAsia" w:ascii="仿宋" w:hAnsi="仿宋" w:eastAsia="仿宋" w:cs="仿宋"/>
          <w:b/>
          <w:color w:val="auto"/>
          <w:sz w:val="28"/>
          <w:szCs w:val="28"/>
        </w:rPr>
        <w:t>_年__</w:t>
      </w:r>
      <w:r>
        <w:rPr>
          <w:rFonts w:hint="eastAsia" w:ascii="仿宋" w:hAnsi="仿宋" w:eastAsia="仿宋" w:cs="仿宋"/>
          <w:b/>
          <w:color w:val="auto"/>
          <w:sz w:val="28"/>
          <w:szCs w:val="28"/>
          <w:u w:val="single"/>
        </w:rPr>
        <w:t xml:space="preserve">   </w:t>
      </w:r>
      <w:r>
        <w:rPr>
          <w:rFonts w:hint="eastAsia" w:ascii="仿宋" w:hAnsi="仿宋" w:eastAsia="仿宋" w:cs="仿宋"/>
          <w:b/>
          <w:color w:val="auto"/>
          <w:sz w:val="28"/>
          <w:szCs w:val="28"/>
        </w:rPr>
        <w:t>_月__</w:t>
      </w:r>
      <w:r>
        <w:rPr>
          <w:rFonts w:hint="eastAsia" w:ascii="仿宋" w:hAnsi="仿宋" w:eastAsia="仿宋" w:cs="仿宋"/>
          <w:b/>
          <w:color w:val="auto"/>
          <w:sz w:val="28"/>
          <w:szCs w:val="28"/>
          <w:u w:val="single"/>
        </w:rPr>
        <w:t xml:space="preserve">   </w:t>
      </w:r>
      <w:r>
        <w:rPr>
          <w:rFonts w:hint="eastAsia" w:ascii="仿宋" w:hAnsi="仿宋" w:eastAsia="仿宋" w:cs="仿宋"/>
          <w:b/>
          <w:color w:val="auto"/>
          <w:sz w:val="28"/>
          <w:szCs w:val="28"/>
        </w:rPr>
        <w:t>_日</w:t>
      </w:r>
    </w:p>
    <w:p w14:paraId="12939A18">
      <w:pPr>
        <w:pStyle w:val="28"/>
        <w:spacing w:after="340" w:line="240" w:lineRule="auto"/>
        <w:ind w:firstLine="0"/>
        <w:jc w:val="both"/>
        <w:rPr>
          <w:rFonts w:hint="eastAsia" w:ascii="仿宋" w:hAnsi="仿宋" w:eastAsia="仿宋" w:cs="仿宋"/>
          <w:b/>
          <w:color w:val="auto"/>
          <w:sz w:val="28"/>
          <w:szCs w:val="28"/>
        </w:rPr>
      </w:pPr>
    </w:p>
    <w:p w14:paraId="5DC3D754">
      <w:pPr>
        <w:pStyle w:val="28"/>
        <w:keepNext w:val="0"/>
        <w:keepLines w:val="0"/>
        <w:pageBreakBefore w:val="0"/>
        <w:widowControl w:val="0"/>
        <w:wordWrap/>
        <w:topLinePunct w:val="0"/>
        <w:autoSpaceDE/>
        <w:autoSpaceDN/>
        <w:bidi w:val="0"/>
        <w:adjustRightInd/>
        <w:spacing w:after="340" w:line="480" w:lineRule="auto"/>
        <w:ind w:firstLine="0"/>
        <w:jc w:val="center"/>
        <w:textAlignment w:val="auto"/>
        <w:rPr>
          <w:rFonts w:hint="eastAsia" w:ascii="仿宋" w:hAnsi="仿宋" w:eastAsia="仿宋" w:cs="仿宋"/>
          <w:b/>
          <w:color w:val="auto"/>
          <w:sz w:val="28"/>
          <w:szCs w:val="28"/>
        </w:rPr>
      </w:pPr>
    </w:p>
    <w:p w14:paraId="299B77F5">
      <w:pPr>
        <w:pStyle w:val="28"/>
        <w:keepNext w:val="0"/>
        <w:keepLines w:val="0"/>
        <w:pageBreakBefore w:val="0"/>
        <w:widowControl w:val="0"/>
        <w:wordWrap/>
        <w:topLinePunct w:val="0"/>
        <w:autoSpaceDE/>
        <w:autoSpaceDN/>
        <w:bidi w:val="0"/>
        <w:adjustRightInd/>
        <w:spacing w:after="340" w:line="480" w:lineRule="auto"/>
        <w:ind w:firstLine="0"/>
        <w:jc w:val="center"/>
        <w:textAlignment w:val="auto"/>
        <w:rPr>
          <w:rFonts w:hint="eastAsia" w:ascii="仿宋" w:hAnsi="仿宋" w:eastAsia="仿宋" w:cs="仿宋"/>
          <w:b/>
          <w:color w:val="auto"/>
          <w:sz w:val="28"/>
          <w:szCs w:val="28"/>
        </w:rPr>
      </w:pPr>
    </w:p>
    <w:p w14:paraId="6C2315FE">
      <w:pPr>
        <w:pStyle w:val="28"/>
        <w:keepNext w:val="0"/>
        <w:keepLines w:val="0"/>
        <w:pageBreakBefore w:val="0"/>
        <w:widowControl w:val="0"/>
        <w:wordWrap/>
        <w:topLinePunct w:val="0"/>
        <w:autoSpaceDE/>
        <w:autoSpaceDN/>
        <w:bidi w:val="0"/>
        <w:adjustRightInd/>
        <w:spacing w:after="340" w:line="480" w:lineRule="auto"/>
        <w:ind w:firstLine="0"/>
        <w:jc w:val="center"/>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资格证明文件</w:t>
      </w:r>
    </w:p>
    <w:bookmarkEnd w:id="79"/>
    <w:p w14:paraId="1BFAE96D">
      <w:pPr>
        <w:keepNext w:val="0"/>
        <w:keepLines w:val="0"/>
        <w:pageBreakBefore w:val="0"/>
        <w:widowControl w:val="0"/>
        <w:numPr>
          <w:ilvl w:val="0"/>
          <w:numId w:val="6"/>
        </w:numPr>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具备三证合一营业执照副本</w:t>
      </w:r>
    </w:p>
    <w:p w14:paraId="64123B64">
      <w:pPr>
        <w:keepNext w:val="0"/>
        <w:keepLines w:val="0"/>
        <w:pageBreakBefore w:val="0"/>
        <w:widowControl w:val="0"/>
        <w:numPr>
          <w:ilvl w:val="0"/>
          <w:numId w:val="0"/>
        </w:numPr>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2、法定代表人资格证明书</w:t>
      </w:r>
    </w:p>
    <w:p w14:paraId="2183B306">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3、法定代表人授权书</w:t>
      </w:r>
    </w:p>
    <w:p w14:paraId="5BFE7B02">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4、</w:t>
      </w:r>
      <w:r>
        <w:rPr>
          <w:rFonts w:hint="eastAsia" w:ascii="仿宋" w:hAnsi="仿宋" w:eastAsia="仿宋" w:cs="仿宋"/>
          <w:b/>
          <w:color w:val="auto"/>
          <w:sz w:val="28"/>
          <w:szCs w:val="28"/>
          <w:lang w:val="en-US" w:eastAsia="zh-CN"/>
        </w:rPr>
        <w:t>投标保证金缴纳凭证或投标担保函</w:t>
      </w:r>
      <w:r>
        <w:rPr>
          <w:rFonts w:hint="eastAsia" w:ascii="仿宋" w:hAnsi="仿宋" w:eastAsia="仿宋" w:cs="仿宋"/>
          <w:b/>
          <w:color w:val="auto"/>
          <w:sz w:val="28"/>
          <w:szCs w:val="28"/>
          <w:lang w:eastAsia="zh-CN"/>
        </w:rPr>
        <w:t>；</w:t>
      </w:r>
    </w:p>
    <w:p w14:paraId="4AD0F574">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5、投标企业须提供投标人（被授权本单位在职人员）近6个月</w:t>
      </w:r>
      <w:r>
        <w:rPr>
          <w:rFonts w:hint="eastAsia" w:ascii="仿宋" w:hAnsi="仿宋" w:eastAsia="仿宋" w:cs="仿宋"/>
          <w:b/>
          <w:color w:val="auto"/>
          <w:sz w:val="28"/>
          <w:szCs w:val="28"/>
          <w:lang w:val="en-US" w:eastAsia="zh-CN"/>
        </w:rPr>
        <w:t>内任意一个月</w:t>
      </w:r>
      <w:r>
        <w:rPr>
          <w:rFonts w:hint="eastAsia" w:ascii="仿宋" w:hAnsi="仿宋" w:eastAsia="仿宋" w:cs="仿宋"/>
          <w:b/>
          <w:color w:val="auto"/>
          <w:sz w:val="28"/>
          <w:szCs w:val="28"/>
          <w:lang w:eastAsia="zh-CN"/>
        </w:rPr>
        <w:t>有效的社保证明；</w:t>
      </w:r>
    </w:p>
    <w:p w14:paraId="1A05288A">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6</w:t>
      </w:r>
      <w:r>
        <w:rPr>
          <w:rFonts w:hint="eastAsia" w:ascii="仿宋" w:hAnsi="仿宋" w:eastAsia="仿宋" w:cs="仿宋"/>
          <w:b/>
          <w:color w:val="auto"/>
          <w:sz w:val="28"/>
          <w:szCs w:val="28"/>
          <w:lang w:eastAsia="zh-CN"/>
        </w:rPr>
        <w:t>、投标企业需提供参加本次采购活动前三年内未被“信用中国”（www.creditchina.gov.cn）、中国政府采购网（www.ccgp.gov.cn）列入失信被执行人、重大税收违法案件当事人名单、政府采购严重违法失信行为记录名单； </w:t>
      </w:r>
    </w:p>
    <w:p w14:paraId="20A06D8F">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7</w:t>
      </w:r>
      <w:r>
        <w:rPr>
          <w:rFonts w:hint="eastAsia" w:ascii="仿宋" w:hAnsi="仿宋" w:eastAsia="仿宋" w:cs="仿宋"/>
          <w:b/>
          <w:color w:val="auto"/>
          <w:sz w:val="28"/>
          <w:szCs w:val="28"/>
          <w:lang w:eastAsia="zh-CN"/>
        </w:rPr>
        <w:t xml:space="preserve">、投标人须知资料表要求的其他资格证明文件; </w:t>
      </w:r>
    </w:p>
    <w:p w14:paraId="7BD68AC9">
      <w:pPr>
        <w:pStyle w:val="7"/>
        <w:keepNext w:val="0"/>
        <w:keepLines w:val="0"/>
        <w:pageBreakBefore w:val="0"/>
        <w:widowControl w:val="0"/>
        <w:numPr>
          <w:ilvl w:val="0"/>
          <w:numId w:val="0"/>
        </w:numPr>
        <w:tabs>
          <w:tab w:val="clear" w:pos="780"/>
        </w:tabs>
        <w:kinsoku w:val="0"/>
        <w:wordWrap/>
        <w:overflowPunct w:val="0"/>
        <w:topLinePunct w:val="0"/>
        <w:autoSpaceDE/>
        <w:autoSpaceDN/>
        <w:bidi w:val="0"/>
        <w:adjustRightInd/>
        <w:spacing w:before="130" w:line="480" w:lineRule="auto"/>
        <w:ind w:left="480" w:right="7"/>
        <w:jc w:val="both"/>
        <w:textAlignment w:val="auto"/>
        <w:rPr>
          <w:rFonts w:hint="eastAsia" w:ascii="仿宋" w:hAnsi="仿宋" w:eastAsia="仿宋" w:cs="仿宋"/>
          <w:b/>
          <w:bCs/>
          <w:color w:val="auto"/>
          <w:sz w:val="28"/>
          <w:szCs w:val="28"/>
        </w:rPr>
      </w:pPr>
    </w:p>
    <w:p w14:paraId="1E240ACC">
      <w:pPr>
        <w:pStyle w:val="16"/>
        <w:numPr>
          <w:ilvl w:val="0"/>
          <w:numId w:val="0"/>
        </w:numPr>
        <w:tabs>
          <w:tab w:val="clear" w:pos="780"/>
        </w:tabs>
        <w:ind w:leftChars="100"/>
        <w:rPr>
          <w:rFonts w:hint="eastAsia" w:ascii="仿宋" w:hAnsi="仿宋" w:eastAsia="仿宋" w:cs="仿宋"/>
          <w:color w:val="auto"/>
          <w:sz w:val="28"/>
          <w:szCs w:val="28"/>
        </w:rPr>
      </w:pPr>
    </w:p>
    <w:p w14:paraId="1BDB61E8">
      <w:pPr>
        <w:rPr>
          <w:rFonts w:hint="eastAsia" w:ascii="仿宋" w:hAnsi="仿宋" w:eastAsia="仿宋" w:cs="仿宋"/>
          <w:color w:val="auto"/>
          <w:sz w:val="28"/>
          <w:szCs w:val="28"/>
        </w:rPr>
      </w:pPr>
    </w:p>
    <w:p w14:paraId="77CF5091">
      <w:pPr>
        <w:pStyle w:val="13"/>
        <w:rPr>
          <w:rFonts w:hint="eastAsia" w:ascii="仿宋" w:hAnsi="仿宋" w:eastAsia="仿宋" w:cs="仿宋"/>
          <w:color w:val="auto"/>
          <w:sz w:val="28"/>
          <w:szCs w:val="28"/>
        </w:rPr>
      </w:pPr>
    </w:p>
    <w:p w14:paraId="080ECDD0">
      <w:pPr>
        <w:rPr>
          <w:rFonts w:hint="eastAsia" w:ascii="仿宋" w:hAnsi="仿宋" w:eastAsia="仿宋" w:cs="仿宋"/>
          <w:b/>
          <w:bCs/>
          <w:color w:val="auto"/>
          <w:sz w:val="28"/>
          <w:szCs w:val="28"/>
        </w:rPr>
      </w:pPr>
    </w:p>
    <w:p w14:paraId="4093CFCE">
      <w:pPr>
        <w:pStyle w:val="13"/>
        <w:rPr>
          <w:rFonts w:hint="eastAsia" w:ascii="仿宋" w:hAnsi="仿宋" w:eastAsia="仿宋" w:cs="仿宋"/>
          <w:color w:val="auto"/>
          <w:sz w:val="28"/>
          <w:szCs w:val="28"/>
        </w:rPr>
      </w:pPr>
    </w:p>
    <w:p w14:paraId="126DD072">
      <w:pPr>
        <w:pStyle w:val="7"/>
        <w:numPr>
          <w:ilvl w:val="0"/>
          <w:numId w:val="0"/>
        </w:numPr>
        <w:tabs>
          <w:tab w:val="clear" w:pos="780"/>
        </w:tabs>
        <w:kinsoku w:val="0"/>
        <w:overflowPunct w:val="0"/>
        <w:spacing w:before="130" w:line="355" w:lineRule="auto"/>
        <w:ind w:left="480" w:right="7"/>
        <w:jc w:val="center"/>
        <w:rPr>
          <w:rFonts w:hint="eastAsia" w:ascii="仿宋" w:hAnsi="仿宋" w:eastAsia="仿宋" w:cs="仿宋"/>
          <w:b/>
          <w:bCs/>
          <w:color w:val="auto"/>
          <w:sz w:val="28"/>
          <w:szCs w:val="28"/>
        </w:rPr>
      </w:pPr>
    </w:p>
    <w:p w14:paraId="61E35780">
      <w:pPr>
        <w:pStyle w:val="7"/>
        <w:numPr>
          <w:ilvl w:val="0"/>
          <w:numId w:val="0"/>
        </w:numPr>
        <w:tabs>
          <w:tab w:val="clear" w:pos="780"/>
        </w:tabs>
        <w:kinsoku w:val="0"/>
        <w:overflowPunct w:val="0"/>
        <w:spacing w:before="130" w:line="355" w:lineRule="auto"/>
        <w:ind w:left="480" w:right="7"/>
        <w:jc w:val="center"/>
        <w:rPr>
          <w:rFonts w:hint="eastAsia" w:ascii="仿宋" w:hAnsi="仿宋" w:eastAsia="仿宋" w:cs="仿宋"/>
          <w:b/>
          <w:bCs/>
          <w:color w:val="auto"/>
          <w:sz w:val="28"/>
          <w:szCs w:val="28"/>
        </w:rPr>
      </w:pPr>
    </w:p>
    <w:p w14:paraId="7DB5A203">
      <w:pPr>
        <w:pStyle w:val="7"/>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right="126" w:rightChars="0"/>
        <w:jc w:val="both"/>
        <w:textAlignment w:val="auto"/>
        <w:rPr>
          <w:rFonts w:hint="eastAsia" w:ascii="仿宋" w:hAnsi="仿宋" w:eastAsia="仿宋" w:cs="仿宋"/>
          <w:b/>
          <w:bCs/>
          <w:color w:val="auto"/>
          <w:sz w:val="28"/>
          <w:szCs w:val="28"/>
          <w:lang w:val="en-US" w:eastAsia="zh-CN"/>
        </w:rPr>
      </w:pPr>
    </w:p>
    <w:p w14:paraId="35C91CC7">
      <w:pPr>
        <w:pStyle w:val="7"/>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left="480" w:leftChars="0" w:right="126" w:righ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1、 具备三证合一营业执照副本；</w:t>
      </w:r>
    </w:p>
    <w:p w14:paraId="15B2D9BA">
      <w:pPr>
        <w:pStyle w:val="9"/>
        <w:pageBreakBefore w:val="0"/>
        <w:widowControl w:val="0"/>
        <w:shd w:val="clear" w:color="auto" w:fill="auto"/>
        <w:tabs>
          <w:tab w:val="left" w:pos="5580"/>
        </w:tabs>
        <w:kinsoku/>
        <w:wordWrap/>
        <w:overflowPunct/>
        <w:topLinePunct w:val="0"/>
        <w:autoSpaceDE/>
        <w:autoSpaceDN/>
        <w:bidi w:val="0"/>
        <w:snapToGrid/>
        <w:spacing w:line="400" w:lineRule="exact"/>
        <w:ind w:left="1169" w:leftChars="257" w:hanging="540"/>
        <w:jc w:val="center"/>
        <w:rPr>
          <w:rFonts w:hint="eastAsia" w:ascii="仿宋" w:hAnsi="仿宋" w:eastAsia="仿宋" w:cs="仿宋"/>
          <w:b/>
          <w:color w:val="auto"/>
          <w:sz w:val="28"/>
          <w:szCs w:val="28"/>
          <w:highlight w:val="none"/>
        </w:rPr>
      </w:pPr>
    </w:p>
    <w:p w14:paraId="4C08F233">
      <w:pPr>
        <w:pStyle w:val="9"/>
        <w:pageBreakBefore w:val="0"/>
        <w:widowControl w:val="0"/>
        <w:shd w:val="clear" w:color="auto" w:fill="auto"/>
        <w:tabs>
          <w:tab w:val="left" w:pos="5580"/>
        </w:tabs>
        <w:kinsoku/>
        <w:wordWrap/>
        <w:overflowPunct/>
        <w:topLinePunct w:val="0"/>
        <w:autoSpaceDE/>
        <w:autoSpaceDN/>
        <w:bidi w:val="0"/>
        <w:snapToGrid/>
        <w:spacing w:line="400" w:lineRule="exact"/>
        <w:ind w:left="1169" w:leftChars="257" w:hanging="540"/>
        <w:rPr>
          <w:rFonts w:hint="eastAsia" w:ascii="仿宋" w:hAnsi="仿宋" w:eastAsia="仿宋" w:cs="仿宋"/>
          <w:b/>
          <w:color w:val="auto"/>
          <w:sz w:val="28"/>
          <w:szCs w:val="28"/>
          <w:highlight w:val="none"/>
        </w:rPr>
      </w:pPr>
    </w:p>
    <w:p w14:paraId="2A9E4D00">
      <w:pPr>
        <w:pStyle w:val="9"/>
        <w:pageBreakBefore w:val="0"/>
        <w:widowControl w:val="0"/>
        <w:shd w:val="clear" w:color="auto" w:fill="auto"/>
        <w:tabs>
          <w:tab w:val="left" w:pos="5580"/>
        </w:tabs>
        <w:kinsoku/>
        <w:wordWrap/>
        <w:overflowPunct/>
        <w:topLinePunct w:val="0"/>
        <w:autoSpaceDE/>
        <w:autoSpaceDN/>
        <w:bidi w:val="0"/>
        <w:snapToGrid/>
        <w:spacing w:line="400" w:lineRule="exact"/>
        <w:ind w:left="1169" w:leftChars="257" w:hanging="540"/>
        <w:rPr>
          <w:rFonts w:hint="eastAsia" w:ascii="仿宋" w:hAnsi="仿宋" w:eastAsia="仿宋" w:cs="仿宋"/>
          <w:b/>
          <w:color w:val="auto"/>
          <w:sz w:val="28"/>
          <w:szCs w:val="28"/>
          <w:highlight w:val="none"/>
        </w:rPr>
      </w:pPr>
    </w:p>
    <w:p w14:paraId="0EC7198E">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说明：提供有效的营业执照等证明文件复印件，复印件上应加盖本单位章。</w:t>
      </w:r>
    </w:p>
    <w:p w14:paraId="562D333F">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6636A79F">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7C08C8F0">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0A51D2DA">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37D4D088">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32F3C2E1">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469846A1">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15219052">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399319C2">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456F309B">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6B4DEA6D">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5C488DFA">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27F468A7">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4640FFCA">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3DEFF411">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6744F1B1">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002D6D03">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0AFAE9BF">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3B8CA626">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47F7221E">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36DF4F45">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right="126" w:rightChars="0"/>
        <w:jc w:val="both"/>
        <w:textAlignment w:val="auto"/>
        <w:rPr>
          <w:rFonts w:hint="eastAsia" w:ascii="仿宋" w:hAnsi="仿宋" w:eastAsia="仿宋" w:cs="仿宋"/>
          <w:b/>
          <w:bCs/>
          <w:color w:val="auto"/>
          <w:sz w:val="28"/>
          <w:szCs w:val="28"/>
          <w:lang w:val="en-US" w:eastAsia="zh-CN"/>
        </w:rPr>
      </w:pPr>
    </w:p>
    <w:p w14:paraId="097DD738">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19F47682">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23585D90">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法定代表人身份证明</w:t>
      </w:r>
    </w:p>
    <w:p w14:paraId="241DBAEB">
      <w:pPr>
        <w:pStyle w:val="2"/>
        <w:rPr>
          <w:rFonts w:hint="eastAsia" w:ascii="仿宋" w:hAnsi="仿宋" w:eastAsia="仿宋" w:cs="仿宋"/>
          <w:color w:val="auto"/>
          <w:sz w:val="28"/>
          <w:szCs w:val="28"/>
        </w:rPr>
      </w:pPr>
    </w:p>
    <w:p w14:paraId="6E3C38A5">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投标单位名称：</w:t>
      </w:r>
      <w:r>
        <w:rPr>
          <w:rFonts w:hint="eastAsia" w:ascii="仿宋" w:hAnsi="仿宋" w:eastAsia="仿宋" w:cs="仿宋"/>
          <w:color w:val="auto"/>
          <w:kern w:val="0"/>
          <w:sz w:val="28"/>
          <w:szCs w:val="28"/>
          <w:u w:val="single"/>
        </w:rPr>
        <w:t xml:space="preserve">                       </w:t>
      </w:r>
    </w:p>
    <w:p w14:paraId="27C64BB1">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单位性质：</w:t>
      </w:r>
      <w:r>
        <w:rPr>
          <w:rFonts w:hint="eastAsia" w:ascii="仿宋" w:hAnsi="仿宋" w:eastAsia="仿宋" w:cs="仿宋"/>
          <w:color w:val="auto"/>
          <w:kern w:val="0"/>
          <w:sz w:val="28"/>
          <w:szCs w:val="28"/>
          <w:u w:val="single"/>
        </w:rPr>
        <w:t xml:space="preserve">                           </w:t>
      </w:r>
    </w:p>
    <w:p w14:paraId="5E5BE424">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地址：</w:t>
      </w:r>
      <w:r>
        <w:rPr>
          <w:rFonts w:hint="eastAsia" w:ascii="仿宋" w:hAnsi="仿宋" w:eastAsia="仿宋" w:cs="仿宋"/>
          <w:color w:val="auto"/>
          <w:kern w:val="0"/>
          <w:sz w:val="28"/>
          <w:szCs w:val="28"/>
          <w:u w:val="single"/>
        </w:rPr>
        <w:t xml:space="preserve">                               </w:t>
      </w:r>
    </w:p>
    <w:p w14:paraId="594D947B">
      <w:pPr>
        <w:spacing w:line="42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成立时间：</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日</w:t>
      </w:r>
    </w:p>
    <w:p w14:paraId="417EF989">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经营期限：</w:t>
      </w:r>
      <w:r>
        <w:rPr>
          <w:rFonts w:hint="eastAsia" w:ascii="仿宋" w:hAnsi="仿宋" w:eastAsia="仿宋" w:cs="仿宋"/>
          <w:color w:val="auto"/>
          <w:kern w:val="0"/>
          <w:sz w:val="28"/>
          <w:szCs w:val="28"/>
          <w:u w:val="single"/>
        </w:rPr>
        <w:t xml:space="preserve">             </w:t>
      </w:r>
    </w:p>
    <w:p w14:paraId="5C69A7D5">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姓名：</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性别：</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年龄：</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职务：</w:t>
      </w:r>
      <w:r>
        <w:rPr>
          <w:rFonts w:hint="eastAsia" w:ascii="仿宋" w:hAnsi="仿宋" w:eastAsia="仿宋" w:cs="仿宋"/>
          <w:color w:val="auto"/>
          <w:kern w:val="0"/>
          <w:sz w:val="28"/>
          <w:szCs w:val="28"/>
          <w:u w:val="single"/>
        </w:rPr>
        <w:t xml:space="preserve">           </w:t>
      </w:r>
    </w:p>
    <w:p w14:paraId="53704412">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身份证号码：</w:t>
      </w:r>
      <w:r>
        <w:rPr>
          <w:rFonts w:hint="eastAsia" w:ascii="仿宋" w:hAnsi="仿宋" w:eastAsia="仿宋" w:cs="仿宋"/>
          <w:color w:val="auto"/>
          <w:kern w:val="0"/>
          <w:sz w:val="28"/>
          <w:szCs w:val="28"/>
          <w:u w:val="single"/>
        </w:rPr>
        <w:t xml:space="preserve">                                  </w:t>
      </w:r>
    </w:p>
    <w:p w14:paraId="2FA65A11">
      <w:pPr>
        <w:spacing w:line="42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系</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（投标单位名称）的法定代表人。</w:t>
      </w:r>
    </w:p>
    <w:p w14:paraId="71E3088E">
      <w:pPr>
        <w:spacing w:line="420" w:lineRule="exact"/>
        <w:ind w:firstLine="1140" w:firstLineChars="4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特此证明。</w:t>
      </w:r>
    </w:p>
    <w:p w14:paraId="3455C239">
      <w:pPr>
        <w:pStyle w:val="7"/>
        <w:numPr>
          <w:ilvl w:val="0"/>
          <w:numId w:val="0"/>
        </w:numPr>
        <w:kinsoku w:val="0"/>
        <w:overflowPunct w:val="0"/>
        <w:ind w:leftChars="0" w:right="0" w:rightChars="0"/>
        <w:rPr>
          <w:rFonts w:hint="eastAsia" w:ascii="仿宋" w:hAnsi="仿宋" w:eastAsia="仿宋" w:cs="仿宋"/>
          <w:color w:val="auto"/>
          <w:sz w:val="28"/>
          <w:szCs w:val="28"/>
        </w:rPr>
      </w:pPr>
    </w:p>
    <w:p w14:paraId="081D7692">
      <w:pPr>
        <w:pStyle w:val="7"/>
        <w:numPr>
          <w:ilvl w:val="0"/>
          <w:numId w:val="0"/>
        </w:numPr>
        <w:kinsoku w:val="0"/>
        <w:overflowPunct w:val="0"/>
        <w:spacing w:before="7"/>
        <w:ind w:leftChars="0" w:right="0" w:rightChars="0"/>
        <w:rPr>
          <w:rFonts w:hint="eastAsia" w:ascii="仿宋" w:hAnsi="仿宋" w:eastAsia="仿宋" w:cs="仿宋"/>
          <w:color w:val="auto"/>
          <w:sz w:val="28"/>
          <w:szCs w:val="28"/>
        </w:rPr>
      </w:pPr>
    </w:p>
    <w:p w14:paraId="7A3ECAA0">
      <w:pPr>
        <w:pStyle w:val="7"/>
        <w:numPr>
          <w:ilvl w:val="0"/>
          <w:numId w:val="0"/>
        </w:numPr>
        <w:kinsoku w:val="0"/>
        <w:overflowPunct w:val="0"/>
        <w:spacing w:line="200" w:lineRule="atLeast"/>
        <w:ind w:right="0" w:rightChars="0"/>
        <w:rPr>
          <w:rFonts w:hint="eastAsia" w:ascii="仿宋" w:hAnsi="仿宋" w:eastAsia="仿宋" w:cs="仿宋"/>
          <w:color w:val="auto"/>
          <w:sz w:val="28"/>
          <w:szCs w:val="28"/>
        </w:rPr>
      </w:pPr>
      <w:r>
        <w:rPr>
          <w:rFonts w:hint="eastAsia" w:ascii="仿宋" w:hAnsi="仿宋" w:eastAsia="仿宋" w:cs="仿宋"/>
          <w:color w:val="auto"/>
          <w:sz w:val="28"/>
          <w:szCs w:val="28"/>
        </w:rPr>
        <mc:AlternateContent>
          <mc:Choice Requires="wpg">
            <w:drawing>
              <wp:inline distT="0" distB="0" distL="114300" distR="114300">
                <wp:extent cx="5136515" cy="1458595"/>
                <wp:effectExtent l="635" t="635" r="6350" b="7620"/>
                <wp:docPr id="34" name="组合 34"/>
                <wp:cNvGraphicFramePr/>
                <a:graphic xmlns:a="http://schemas.openxmlformats.org/drawingml/2006/main">
                  <a:graphicData uri="http://schemas.microsoft.com/office/word/2010/wordprocessingGroup">
                    <wpg:wgp>
                      <wpg:cNvGrpSpPr>
                        <a:grpSpLocks noRot="1"/>
                      </wpg:cNvGrpSpPr>
                      <wpg:grpSpPr>
                        <a:xfrm>
                          <a:off x="0" y="0"/>
                          <a:ext cx="5136515" cy="1458595"/>
                          <a:chOff x="0" y="0"/>
                          <a:chExt cx="8089" cy="2297"/>
                        </a:xfrm>
                        <a:effectLst/>
                      </wpg:grpSpPr>
                      <wps:wsp>
                        <wps:cNvPr id="14" name="任意多边形 14"/>
                        <wps:cNvSpPr/>
                        <wps:spPr>
                          <a:xfrm>
                            <a:off x="4" y="9"/>
                            <a:ext cx="8079" cy="20"/>
                          </a:xfrm>
                          <a:custGeom>
                            <a:avLst/>
                            <a:gdLst/>
                            <a:ahLst/>
                            <a:cxnLst/>
                            <a:pathLst>
                              <a:path w="8079" h="20">
                                <a:moveTo>
                                  <a:pt x="0" y="0"/>
                                </a:moveTo>
                                <a:lnTo>
                                  <a:pt x="8078" y="0"/>
                                </a:lnTo>
                              </a:path>
                            </a:pathLst>
                          </a:custGeom>
                          <a:solidFill>
                            <a:srgbClr val="CCE8CF"/>
                          </a:solidFill>
                          <a:ln w="25400" cap="flat" cmpd="sng" algn="ctr">
                            <a:noFill/>
                            <a:prstDash val="solid"/>
                            <a:headEnd type="none" w="med" len="med"/>
                            <a:tailEnd type="none" w="med" len="med"/>
                          </a:ln>
                          <a:effectLst/>
                        </wps:spPr>
                        <wps:bodyPr upright="1"/>
                      </wps:wsp>
                      <wps:wsp>
                        <wps:cNvPr id="15" name="任意多边形 15"/>
                        <wps:cNvSpPr/>
                        <wps:spPr>
                          <a:xfrm>
                            <a:off x="24" y="28"/>
                            <a:ext cx="8041" cy="20"/>
                          </a:xfrm>
                          <a:custGeom>
                            <a:avLst/>
                            <a:gdLst/>
                            <a:ahLst/>
                            <a:cxnLst/>
                            <a:pathLst>
                              <a:path w="8041" h="20">
                                <a:moveTo>
                                  <a:pt x="0" y="0"/>
                                </a:moveTo>
                                <a:lnTo>
                                  <a:pt x="8040" y="0"/>
                                </a:lnTo>
                              </a:path>
                            </a:pathLst>
                          </a:custGeom>
                          <a:solidFill>
                            <a:srgbClr val="CCE8CF"/>
                          </a:solidFill>
                          <a:ln w="25400" cap="flat" cmpd="sng" algn="ctr">
                            <a:noFill/>
                            <a:prstDash val="solid"/>
                            <a:headEnd type="none" w="med" len="med"/>
                            <a:tailEnd type="none" w="med" len="med"/>
                          </a:ln>
                          <a:effectLst/>
                        </wps:spPr>
                        <wps:bodyPr upright="1"/>
                      </wps:wsp>
                      <wps:wsp>
                        <wps:cNvPr id="16" name="任意多边形 16"/>
                        <wps:cNvSpPr/>
                        <wps:spPr>
                          <a:xfrm>
                            <a:off x="24" y="2267"/>
                            <a:ext cx="8041" cy="20"/>
                          </a:xfrm>
                          <a:custGeom>
                            <a:avLst/>
                            <a:gdLst/>
                            <a:ahLst/>
                            <a:cxnLst/>
                            <a:pathLst>
                              <a:path w="8041" h="20">
                                <a:moveTo>
                                  <a:pt x="0" y="0"/>
                                </a:moveTo>
                                <a:lnTo>
                                  <a:pt x="8040" y="0"/>
                                </a:lnTo>
                              </a:path>
                            </a:pathLst>
                          </a:custGeom>
                          <a:solidFill>
                            <a:srgbClr val="CCE8CF"/>
                          </a:solidFill>
                          <a:ln w="25400" cap="flat" cmpd="sng" algn="ctr">
                            <a:noFill/>
                            <a:prstDash val="solid"/>
                            <a:headEnd type="none" w="med" len="med"/>
                            <a:tailEnd type="none" w="med" len="med"/>
                          </a:ln>
                          <a:effectLst/>
                        </wps:spPr>
                        <wps:bodyPr upright="1"/>
                      </wps:wsp>
                      <wps:wsp>
                        <wps:cNvPr id="17" name="任意多边形 17"/>
                        <wps:cNvSpPr/>
                        <wps:spPr>
                          <a:xfrm>
                            <a:off x="4" y="2286"/>
                            <a:ext cx="8079" cy="20"/>
                          </a:xfrm>
                          <a:custGeom>
                            <a:avLst/>
                            <a:gdLst/>
                            <a:ahLst/>
                            <a:cxnLst/>
                            <a:pathLst>
                              <a:path w="8079" h="20">
                                <a:moveTo>
                                  <a:pt x="0" y="0"/>
                                </a:moveTo>
                                <a:lnTo>
                                  <a:pt x="8078" y="0"/>
                                </a:lnTo>
                              </a:path>
                            </a:pathLst>
                          </a:custGeom>
                          <a:solidFill>
                            <a:srgbClr val="CCE8CF"/>
                          </a:solidFill>
                          <a:ln w="25400" cap="flat" cmpd="sng" algn="ctr">
                            <a:noFill/>
                            <a:prstDash val="solid"/>
                            <a:headEnd type="none" w="med" len="med"/>
                            <a:tailEnd type="none" w="med" len="med"/>
                          </a:ln>
                          <a:effectLst/>
                        </wps:spPr>
                        <wps:bodyPr upright="1"/>
                      </wps:wsp>
                      <wps:wsp>
                        <wps:cNvPr id="19" name="任意多边形 19"/>
                        <wps:cNvSpPr/>
                        <wps:spPr>
                          <a:xfrm>
                            <a:off x="9" y="4"/>
                            <a:ext cx="20" cy="2287"/>
                          </a:xfrm>
                          <a:custGeom>
                            <a:avLst/>
                            <a:gdLst/>
                            <a:ahLst/>
                            <a:cxnLst/>
                            <a:pathLst>
                              <a:path w="20" h="2287">
                                <a:moveTo>
                                  <a:pt x="0" y="0"/>
                                </a:moveTo>
                                <a:lnTo>
                                  <a:pt x="0" y="2286"/>
                                </a:lnTo>
                              </a:path>
                            </a:pathLst>
                          </a:custGeom>
                          <a:solidFill>
                            <a:srgbClr val="CCE8CF"/>
                          </a:solidFill>
                          <a:ln w="25400" cap="flat" cmpd="sng" algn="ctr">
                            <a:noFill/>
                            <a:prstDash val="solid"/>
                            <a:headEnd type="none" w="med" len="med"/>
                            <a:tailEnd type="none" w="med" len="med"/>
                          </a:ln>
                          <a:effectLst/>
                        </wps:spPr>
                        <wps:bodyPr upright="1"/>
                      </wps:wsp>
                      <wps:wsp>
                        <wps:cNvPr id="20" name="任意多边形 20"/>
                        <wps:cNvSpPr/>
                        <wps:spPr>
                          <a:xfrm>
                            <a:off x="28" y="24"/>
                            <a:ext cx="20" cy="2249"/>
                          </a:xfrm>
                          <a:custGeom>
                            <a:avLst/>
                            <a:gdLst/>
                            <a:ahLst/>
                            <a:cxnLst/>
                            <a:pathLst>
                              <a:path w="20" h="2249">
                                <a:moveTo>
                                  <a:pt x="0" y="0"/>
                                </a:moveTo>
                                <a:lnTo>
                                  <a:pt x="0" y="2248"/>
                                </a:lnTo>
                              </a:path>
                            </a:pathLst>
                          </a:custGeom>
                          <a:solidFill>
                            <a:srgbClr val="CCE8CF"/>
                          </a:solidFill>
                          <a:ln w="25400" cap="flat" cmpd="sng" algn="ctr">
                            <a:noFill/>
                            <a:prstDash val="solid"/>
                            <a:headEnd type="none" w="med" len="med"/>
                            <a:tailEnd type="none" w="med" len="med"/>
                          </a:ln>
                          <a:effectLst/>
                        </wps:spPr>
                        <wps:bodyPr upright="1"/>
                      </wps:wsp>
                      <wps:wsp>
                        <wps:cNvPr id="21" name="任意多边形 21"/>
                        <wps:cNvSpPr/>
                        <wps:spPr>
                          <a:xfrm>
                            <a:off x="4034" y="24"/>
                            <a:ext cx="20" cy="2239"/>
                          </a:xfrm>
                          <a:custGeom>
                            <a:avLst/>
                            <a:gdLst/>
                            <a:ahLst/>
                            <a:cxnLst/>
                            <a:pathLst>
                              <a:path w="20" h="2239">
                                <a:moveTo>
                                  <a:pt x="0" y="0"/>
                                </a:moveTo>
                                <a:lnTo>
                                  <a:pt x="0" y="2238"/>
                                </a:lnTo>
                              </a:path>
                            </a:pathLst>
                          </a:custGeom>
                          <a:solidFill>
                            <a:srgbClr val="CCE8CF"/>
                          </a:solidFill>
                          <a:ln w="25400" cap="flat" cmpd="sng" algn="ctr">
                            <a:noFill/>
                            <a:prstDash val="solid"/>
                            <a:headEnd type="none" w="med" len="med"/>
                            <a:tailEnd type="none" w="med" len="med"/>
                          </a:ln>
                          <a:effectLst/>
                        </wps:spPr>
                        <wps:bodyPr upright="1"/>
                      </wps:wsp>
                      <wps:wsp>
                        <wps:cNvPr id="22" name="任意多边形 22"/>
                        <wps:cNvSpPr/>
                        <wps:spPr>
                          <a:xfrm>
                            <a:off x="4053" y="24"/>
                            <a:ext cx="20" cy="2239"/>
                          </a:xfrm>
                          <a:custGeom>
                            <a:avLst/>
                            <a:gdLst/>
                            <a:ahLst/>
                            <a:cxnLst/>
                            <a:pathLst>
                              <a:path w="20" h="2239">
                                <a:moveTo>
                                  <a:pt x="0" y="0"/>
                                </a:moveTo>
                                <a:lnTo>
                                  <a:pt x="0" y="2238"/>
                                </a:lnTo>
                              </a:path>
                            </a:pathLst>
                          </a:custGeom>
                          <a:solidFill>
                            <a:srgbClr val="CCE8CF"/>
                          </a:solidFill>
                          <a:ln w="25400" cap="flat" cmpd="sng" algn="ctr">
                            <a:noFill/>
                            <a:prstDash val="solid"/>
                            <a:headEnd type="none" w="med" len="med"/>
                            <a:tailEnd type="none" w="med" len="med"/>
                          </a:ln>
                          <a:effectLst/>
                        </wps:spPr>
                        <wps:bodyPr upright="1"/>
                      </wps:wsp>
                      <wps:wsp>
                        <wps:cNvPr id="23" name="任意多边形 23"/>
                        <wps:cNvSpPr/>
                        <wps:spPr>
                          <a:xfrm>
                            <a:off x="8059" y="33"/>
                            <a:ext cx="20" cy="2239"/>
                          </a:xfrm>
                          <a:custGeom>
                            <a:avLst/>
                            <a:gdLst/>
                            <a:ahLst/>
                            <a:cxnLst/>
                            <a:pathLst>
                              <a:path w="20" h="2239">
                                <a:moveTo>
                                  <a:pt x="0" y="0"/>
                                </a:moveTo>
                                <a:lnTo>
                                  <a:pt x="0" y="2238"/>
                                </a:lnTo>
                              </a:path>
                            </a:pathLst>
                          </a:custGeom>
                          <a:solidFill>
                            <a:srgbClr val="CCE8CF"/>
                          </a:solidFill>
                          <a:ln w="25400" cap="flat" cmpd="sng" algn="ctr">
                            <a:noFill/>
                            <a:prstDash val="solid"/>
                            <a:headEnd type="none" w="med" len="med"/>
                            <a:tailEnd type="none" w="med" len="med"/>
                          </a:ln>
                          <a:effectLst/>
                        </wps:spPr>
                        <wps:bodyPr upright="1"/>
                      </wps:wsp>
                      <wps:wsp>
                        <wps:cNvPr id="24" name="任意多边形 24"/>
                        <wps:cNvSpPr/>
                        <wps:spPr>
                          <a:xfrm>
                            <a:off x="8078" y="14"/>
                            <a:ext cx="20" cy="2278"/>
                          </a:xfrm>
                          <a:custGeom>
                            <a:avLst/>
                            <a:gdLst/>
                            <a:ahLst/>
                            <a:cxnLst/>
                            <a:pathLst>
                              <a:path w="20" h="2278">
                                <a:moveTo>
                                  <a:pt x="0" y="0"/>
                                </a:moveTo>
                                <a:lnTo>
                                  <a:pt x="0" y="2277"/>
                                </a:lnTo>
                              </a:path>
                            </a:pathLst>
                          </a:custGeom>
                          <a:solidFill>
                            <a:srgbClr val="CCE8CF"/>
                          </a:solidFill>
                          <a:ln w="25400" cap="flat" cmpd="sng" algn="ctr">
                            <a:noFill/>
                            <a:prstDash val="solid"/>
                            <a:headEnd type="none" w="med" len="med"/>
                            <a:tailEnd type="none" w="med" len="med"/>
                          </a:ln>
                          <a:effectLst/>
                        </wps:spPr>
                        <wps:bodyPr upright="1"/>
                      </wps:wsp>
                      <wps:wsp>
                        <wps:cNvPr id="27" name="文本框 27"/>
                        <wps:cNvSpPr txBox="1"/>
                        <wps:spPr>
                          <a:xfrm>
                            <a:off x="19" y="19"/>
                            <a:ext cx="4025" cy="2258"/>
                          </a:xfrm>
                          <a:prstGeom prst="rect">
                            <a:avLst/>
                          </a:prstGeom>
                          <a:noFill/>
                          <a:ln w="25400" cap="flat" cmpd="sng" algn="ctr">
                            <a:solidFill>
                              <a:srgbClr val="000000"/>
                            </a:solidFill>
                            <a:prstDash val="solid"/>
                          </a:ln>
                          <a:effectLst/>
                        </wps:spPr>
                        <wps:txbx>
                          <w:txbxContent>
                            <w:p w14:paraId="5813F1CA">
                              <w:pPr>
                                <w:pStyle w:val="7"/>
                                <w:numPr>
                                  <w:ilvl w:val="0"/>
                                  <w:numId w:val="0"/>
                                </w:numPr>
                                <w:kinsoku w:val="0"/>
                                <w:overflowPunct w:val="0"/>
                                <w:spacing w:before="13"/>
                                <w:ind w:leftChars="0" w:right="0" w:rightChars="0"/>
                                <w:rPr>
                                  <w:rFonts w:hint="eastAsia"/>
                                  <w:sz w:val="28"/>
                                  <w:szCs w:val="28"/>
                                </w:rPr>
                              </w:pPr>
                            </w:p>
                            <w:p w14:paraId="21F9DE18">
                              <w:pPr>
                                <w:pStyle w:val="7"/>
                                <w:numPr>
                                  <w:ilvl w:val="0"/>
                                  <w:numId w:val="0"/>
                                </w:numPr>
                                <w:kinsoku w:val="0"/>
                                <w:overflowPunct w:val="0"/>
                                <w:ind w:right="0" w:rightChars="0"/>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法定代表人身份证复印件（正面）</w:t>
                              </w:r>
                            </w:p>
                          </w:txbxContent>
                        </wps:txbx>
                        <wps:bodyPr lIns="0" tIns="0" rIns="0" bIns="0" upright="1"/>
                      </wps:wsp>
                      <wps:wsp>
                        <wps:cNvPr id="32" name="文本框 32"/>
                        <wps:cNvSpPr txBox="1"/>
                        <wps:spPr>
                          <a:xfrm>
                            <a:off x="4044" y="19"/>
                            <a:ext cx="4025" cy="2258"/>
                          </a:xfrm>
                          <a:prstGeom prst="rect">
                            <a:avLst/>
                          </a:prstGeom>
                          <a:noFill/>
                          <a:ln w="25400" cap="flat" cmpd="sng" algn="ctr">
                            <a:solidFill>
                              <a:srgbClr val="000000"/>
                            </a:solidFill>
                            <a:prstDash val="solid"/>
                          </a:ln>
                          <a:effectLst/>
                        </wps:spPr>
                        <wps:txbx>
                          <w:txbxContent>
                            <w:p w14:paraId="1AC5017E">
                              <w:pPr>
                                <w:pStyle w:val="7"/>
                                <w:numPr>
                                  <w:ilvl w:val="0"/>
                                  <w:numId w:val="0"/>
                                </w:numPr>
                                <w:kinsoku w:val="0"/>
                                <w:overflowPunct w:val="0"/>
                                <w:spacing w:before="13"/>
                                <w:ind w:leftChars="0" w:right="0" w:rightChars="0"/>
                                <w:rPr>
                                  <w:rFonts w:hint="eastAsia"/>
                                  <w:sz w:val="28"/>
                                  <w:szCs w:val="28"/>
                                </w:rPr>
                              </w:pPr>
                            </w:p>
                            <w:p w14:paraId="446026BE">
                              <w:pPr>
                                <w:pStyle w:val="7"/>
                                <w:numPr>
                                  <w:ilvl w:val="0"/>
                                  <w:numId w:val="0"/>
                                </w:numPr>
                                <w:kinsoku w:val="0"/>
                                <w:overflowPunct w:val="0"/>
                                <w:ind w:right="0" w:rightChars="0" w:firstLine="241" w:firstLineChars="100"/>
                                <w:rPr>
                                  <w:rFonts w:hint="eastAsia" w:ascii="仿宋" w:hAnsi="仿宋" w:eastAsia="仿宋" w:cs="仿宋"/>
                                  <w:sz w:val="24"/>
                                  <w:szCs w:val="24"/>
                                </w:rPr>
                              </w:pPr>
                              <w:r>
                                <w:rPr>
                                  <w:rFonts w:hint="eastAsia" w:ascii="仿宋" w:hAnsi="仿宋" w:eastAsia="仿宋" w:cs="仿宋"/>
                                  <w:b/>
                                  <w:bCs/>
                                  <w:sz w:val="24"/>
                                  <w:szCs w:val="24"/>
                                </w:rPr>
                                <w:t>法定代表人身份证复印件（反面）</w:t>
                              </w:r>
                            </w:p>
                          </w:txbxContent>
                        </wps:txbx>
                        <wps:bodyPr lIns="0" tIns="0" rIns="0" bIns="0" upright="1"/>
                      </wps:wsp>
                    </wpg:wgp>
                  </a:graphicData>
                </a:graphic>
              </wp:inline>
            </w:drawing>
          </mc:Choice>
          <mc:Fallback>
            <w:pict>
              <v:group id="_x0000_s1026" o:spid="_x0000_s1026" o:spt="203" style="height:114.85pt;width:404.45pt;" coordsize="8089,2297" o:gfxdata="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">
                <o:lock v:ext="edit" rotation="t" aspectratio="f"/>
                <v:shape id="_x0000_s1026" o:spid="_x0000_s1026" o:spt="100" style="position:absolute;left:4;top:9;height:20;width:8079;" fillcolor="#CCE8CF" filled="t" stroked="f" coordsize="8079,20" o:gfxdata="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pfVh7sAAADb&#10;AAAADwAAAAAAAAABACAAAAAiAAAAZHJzL2Rvd25yZXYueG1sUEsBAhQAFAAAAAgAh07iQDMvBZ47&#10;AAAAOQAAABAAAAAAAAAAAQAgAAAACgEAAGRycy9zaGFwZXhtbC54bWxQSwUGAAAAAAYABgBbAQAA&#10;tAMAAAAA&#10;" path="m0,0l8078,0e">
                  <v:fill on="t" focussize="0,0"/>
                  <v:stroke on="f" weight="2pt"/>
                  <v:imagedata o:title=""/>
                  <o:lock v:ext="edit" aspectratio="f"/>
                </v:shape>
                <v:shape id="_x0000_s1026" o:spid="_x0000_s1026" o:spt="100" style="position:absolute;left:24;top:28;height:20;width:8041;" fillcolor="#CCE8CF" filled="t" stroked="f" coordsize="8041,20" o:gfxdata="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C3QH+/&#10;AAAA2wAAAA8AAAAAAAAAAQAgAAAAIgAAAGRycy9kb3ducmV2LnhtbFBLAQIUABQAAAAIAIdO4kAz&#10;LwWeOwAAADkAAAAQAAAAAAAAAAEAIAAAAA4BAABkcnMvc2hhcGV4bWwueG1sUEsFBgAAAAAGAAYA&#10;WwEAALgDAAAAAA==&#10;" path="m0,0l8040,0e">
                  <v:fill on="t" focussize="0,0"/>
                  <v:stroke on="f" weight="2pt"/>
                  <v:imagedata o:title=""/>
                  <o:lock v:ext="edit" aspectratio="f"/>
                </v:shape>
                <v:shape id="_x0000_s1026" o:spid="_x0000_s1026" o:spt="100" style="position:absolute;left:24;top:2267;height:20;width:8041;" fillcolor="#CCE8CF" filled="t" stroked="f" coordsize="8041,20" o:gfxdata="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GXeCL4A&#10;AADbAAAADwAAAAAAAAABACAAAAAiAAAAZHJzL2Rvd25yZXYueG1sUEsBAhQAFAAAAAgAh07iQDMv&#10;BZ47AAAAOQAAABAAAAAAAAAAAQAgAAAADQEAAGRycy9zaGFwZXhtbC54bWxQSwUGAAAAAAYABgBb&#10;AQAAtwMAAAAA&#10;" path="m0,0l8040,0e">
                  <v:fill on="t" focussize="0,0"/>
                  <v:stroke on="f" weight="2pt"/>
                  <v:imagedata o:title=""/>
                  <o:lock v:ext="edit" aspectratio="f"/>
                </v:shape>
                <v:shape id="_x0000_s1026" o:spid="_x0000_s1026" o:spt="100" style="position:absolute;left:4;top:2286;height:20;width:8079;" fillcolor="#CCE8CF" filled="t" stroked="f" coordsize="8079,20" o:gfxdata="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5FS/C8AAAA&#10;2wAAAA8AAAAAAAAAAQAgAAAAIgAAAGRycy9kb3ducmV2LnhtbFBLAQIUABQAAAAIAIdO4kAzLwWe&#10;OwAAADkAAAAQAAAAAAAAAAEAIAAAAAsBAABkcnMvc2hhcGV4bWwueG1sUEsFBgAAAAAGAAYAWwEA&#10;ALUDAAAAAA==&#10;" path="m0,0l8078,0e">
                  <v:fill on="t" focussize="0,0"/>
                  <v:stroke on="f" weight="2pt"/>
                  <v:imagedata o:title=""/>
                  <o:lock v:ext="edit" aspectratio="f"/>
                </v:shape>
                <v:shape id="_x0000_s1026" o:spid="_x0000_s1026" o:spt="100" style="position:absolute;left:9;top:4;height:2287;width:20;" fillcolor="#CCE8CF" filled="t" stroked="f" coordsize="20,2287" o:gfxdata="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5kJe5AAAA2wAA&#10;AA8AAAAAAAAAAQAgAAAAIgAAAGRycy9kb3ducmV2LnhtbFBLAQIUABQAAAAIAIdO4kAzLwWeOwAA&#10;ADkAAAAQAAAAAAAAAAEAIAAAAAgBAABkcnMvc2hhcGV4bWwueG1sUEsFBgAAAAAGAAYAWwEAALID&#10;AAAAAA==&#10;" path="m0,0l0,2286e">
                  <v:fill on="t" focussize="0,0"/>
                  <v:stroke on="f" weight="2pt"/>
                  <v:imagedata o:title=""/>
                  <o:lock v:ext="edit" aspectratio="f"/>
                </v:shape>
                <v:shape id="_x0000_s1026" o:spid="_x0000_s1026" o:spt="100" style="position:absolute;left:28;top:24;height:2249;width:20;" fillcolor="#CCE8CF" filled="t" stroked="f" coordsize="20,2249" o:gfxdata="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kL4cbgAAADbAAAA&#10;DwAAAAAAAAABACAAAAAiAAAAZHJzL2Rvd25yZXYueG1sUEsBAhQAFAAAAAgAh07iQDMvBZ47AAAA&#10;OQAAABAAAAAAAAAAAQAgAAAABwEAAGRycy9zaGFwZXhtbC54bWxQSwUGAAAAAAYABgBbAQAAsQMA&#10;AAAA&#10;" path="m0,0l0,2248e">
                  <v:fill on="t" focussize="0,0"/>
                  <v:stroke on="f" weight="2pt"/>
                  <v:imagedata o:title=""/>
                  <o:lock v:ext="edit" aspectratio="f"/>
                </v:shape>
                <v:shape id="_x0000_s1026" o:spid="_x0000_s1026" o:spt="100" style="position:absolute;left:4034;top:24;height:2239;width:20;" fillcolor="#CCE8CF" filled="t" stroked="f" coordsize="20,2239" o:gfxdata="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SIAxm/&#10;AAAA2wAAAA8AAAAAAAAAAQAgAAAAIgAAAGRycy9kb3ducmV2LnhtbFBLAQIUABQAAAAIAIdO4kAz&#10;LwWeOwAAADkAAAAQAAAAAAAAAAEAIAAAAA4BAABkcnMvc2hhcGV4bWwueG1sUEsFBgAAAAAGAAYA&#10;WwEAALgDAAAAAA==&#10;" path="m0,0l0,2238e">
                  <v:fill on="t" focussize="0,0"/>
                  <v:stroke on="f" weight="2pt"/>
                  <v:imagedata o:title=""/>
                  <o:lock v:ext="edit" aspectratio="f"/>
                </v:shape>
                <v:shape id="_x0000_s1026" o:spid="_x0000_s1026" o:spt="100" style="position:absolute;left:4053;top:24;height:2239;width:20;" fillcolor="#CCE8CF" filled="t" stroked="f" coordsize="20,2239" o:gfxdata="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Fqdbr4A&#10;AADbAAAADwAAAAAAAAABACAAAAAiAAAAZHJzL2Rvd25yZXYueG1sUEsBAhQAFAAAAAgAh07iQDMv&#10;BZ47AAAAOQAAABAAAAAAAAAAAQAgAAAADQEAAGRycy9zaGFwZXhtbC54bWxQSwUGAAAAAAYABgBb&#10;AQAAtwMAAAAA&#10;" path="m0,0l0,2238e">
                  <v:fill on="t" focussize="0,0"/>
                  <v:stroke on="f" weight="2pt"/>
                  <v:imagedata o:title=""/>
                  <o:lock v:ext="edit" aspectratio="f"/>
                </v:shape>
                <v:shape id="_x0000_s1026" o:spid="_x0000_s1026" o:spt="100" style="position:absolute;left:8059;top:33;height:2239;width:20;" fillcolor="#CCE8CF" filled="t" stroked="f" coordsize="20,2239" o:gfxdata="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xY49b4A&#10;AADbAAAADwAAAAAAAAABACAAAAAiAAAAZHJzL2Rvd25yZXYueG1sUEsBAhQAFAAAAAgAh07iQDMv&#10;BZ47AAAAOQAAABAAAAAAAAAAAQAgAAAADQEAAGRycy9zaGFwZXhtbC54bWxQSwUGAAAAAAYABgBb&#10;AQAAtwMAAAAA&#10;" path="m0,0l0,2238e">
                  <v:fill on="t" focussize="0,0"/>
                  <v:stroke on="f" weight="2pt"/>
                  <v:imagedata o:title=""/>
                  <o:lock v:ext="edit" aspectratio="f"/>
                </v:shape>
                <v:shape id="_x0000_s1026" o:spid="_x0000_s1026" o:spt="100" style="position:absolute;left:8078;top:14;height:2278;width:20;" fillcolor="#CCE8CF" filled="t" stroked="f" coordsize="20,2278" o:gfxdata="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jQ9rq/&#10;AAAA2wAAAA8AAAAAAAAAAQAgAAAAIgAAAGRycy9kb3ducmV2LnhtbFBLAQIUABQAAAAIAIdO4kAz&#10;LwWeOwAAADkAAAAQAAAAAAAAAAEAIAAAAA4BAABkcnMvc2hhcGV4bWwueG1sUEsFBgAAAAAGAAYA&#10;WwEAALgDAAAAAA==&#10;" path="m0,0l0,2277e">
                  <v:fill on="t" focussize="0,0"/>
                  <v:stroke on="f" weight="2pt"/>
                  <v:imagedata o:title=""/>
                  <o:lock v:ext="edit" aspectratio="f"/>
                </v:shape>
                <v:shape id="_x0000_s1026" o:spid="_x0000_s1026" o:spt="202" type="#_x0000_t202" style="position:absolute;left:19;top:19;height:2258;width:4025;" filled="f" stroked="t" coordsize="21600,21600" o:gfxdata="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CJhPvQAA&#10;ANsAAAAPAAAAAAAAAAEAIAAAACIAAABkcnMvZG93bnJldi54bWxQSwECFAAUAAAACACHTuJAMy8F&#10;njsAAAA5AAAAEAAAAAAAAAABACAAAAAMAQAAZHJzL3NoYXBleG1sLnhtbFBLBQYAAAAABgAGAFsB&#10;AAC2AwAAAAA=&#10;">
                  <v:fill on="f" focussize="0,0"/>
                  <v:stroke weight="2pt" color="#000000" joinstyle="round"/>
                  <v:imagedata o:title=""/>
                  <o:lock v:ext="edit" aspectratio="f"/>
                  <v:textbox inset="0mm,0mm,0mm,0mm">
                    <w:txbxContent>
                      <w:p w14:paraId="5813F1CA">
                        <w:pPr>
                          <w:pStyle w:val="7"/>
                          <w:numPr>
                            <w:ilvl w:val="0"/>
                            <w:numId w:val="0"/>
                          </w:numPr>
                          <w:kinsoku w:val="0"/>
                          <w:overflowPunct w:val="0"/>
                          <w:spacing w:before="13"/>
                          <w:ind w:leftChars="0" w:right="0" w:rightChars="0"/>
                          <w:rPr>
                            <w:rFonts w:hint="eastAsia"/>
                            <w:sz w:val="28"/>
                            <w:szCs w:val="28"/>
                          </w:rPr>
                        </w:pPr>
                      </w:p>
                      <w:p w14:paraId="21F9DE18">
                        <w:pPr>
                          <w:pStyle w:val="7"/>
                          <w:numPr>
                            <w:ilvl w:val="0"/>
                            <w:numId w:val="0"/>
                          </w:numPr>
                          <w:kinsoku w:val="0"/>
                          <w:overflowPunct w:val="0"/>
                          <w:ind w:right="0" w:rightChars="0"/>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法定代表人身份证复印件（正面）</w:t>
                        </w:r>
                      </w:p>
                    </w:txbxContent>
                  </v:textbox>
                </v:shape>
                <v:shape id="_x0000_s1026" o:spid="_x0000_s1026" o:spt="202" type="#_x0000_t202" style="position:absolute;left:4044;top:19;height:2258;width:4025;" filled="f" stroked="t" coordsize="21600,21600" o:gfxdata="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pq0KvQAA&#10;ANsAAAAPAAAAAAAAAAEAIAAAACIAAABkcnMvZG93bnJldi54bWxQSwECFAAUAAAACACHTuJAMy8F&#10;njsAAAA5AAAAEAAAAAAAAAABACAAAAAMAQAAZHJzL3NoYXBleG1sLnhtbFBLBQYAAAAABgAGAFsB&#10;AAC2AwAAAAA=&#10;">
                  <v:fill on="f" focussize="0,0"/>
                  <v:stroke weight="2pt" color="#000000" joinstyle="round"/>
                  <v:imagedata o:title=""/>
                  <o:lock v:ext="edit" aspectratio="f"/>
                  <v:textbox inset="0mm,0mm,0mm,0mm">
                    <w:txbxContent>
                      <w:p w14:paraId="1AC5017E">
                        <w:pPr>
                          <w:pStyle w:val="7"/>
                          <w:numPr>
                            <w:ilvl w:val="0"/>
                            <w:numId w:val="0"/>
                          </w:numPr>
                          <w:kinsoku w:val="0"/>
                          <w:overflowPunct w:val="0"/>
                          <w:spacing w:before="13"/>
                          <w:ind w:leftChars="0" w:right="0" w:rightChars="0"/>
                          <w:rPr>
                            <w:rFonts w:hint="eastAsia"/>
                            <w:sz w:val="28"/>
                            <w:szCs w:val="28"/>
                          </w:rPr>
                        </w:pPr>
                      </w:p>
                      <w:p w14:paraId="446026BE">
                        <w:pPr>
                          <w:pStyle w:val="7"/>
                          <w:numPr>
                            <w:ilvl w:val="0"/>
                            <w:numId w:val="0"/>
                          </w:numPr>
                          <w:kinsoku w:val="0"/>
                          <w:overflowPunct w:val="0"/>
                          <w:ind w:right="0" w:rightChars="0" w:firstLine="241" w:firstLineChars="100"/>
                          <w:rPr>
                            <w:rFonts w:hint="eastAsia" w:ascii="仿宋" w:hAnsi="仿宋" w:eastAsia="仿宋" w:cs="仿宋"/>
                            <w:sz w:val="24"/>
                            <w:szCs w:val="24"/>
                          </w:rPr>
                        </w:pPr>
                        <w:r>
                          <w:rPr>
                            <w:rFonts w:hint="eastAsia" w:ascii="仿宋" w:hAnsi="仿宋" w:eastAsia="仿宋" w:cs="仿宋"/>
                            <w:b/>
                            <w:bCs/>
                            <w:sz w:val="24"/>
                            <w:szCs w:val="24"/>
                          </w:rPr>
                          <w:t>法定代表人身份证复印件（反面）</w:t>
                        </w:r>
                      </w:p>
                    </w:txbxContent>
                  </v:textbox>
                </v:shape>
                <w10:wrap type="none"/>
                <w10:anchorlock/>
              </v:group>
            </w:pict>
          </mc:Fallback>
        </mc:AlternateContent>
      </w:r>
    </w:p>
    <w:p w14:paraId="4AC4C096">
      <w:pPr>
        <w:wordWrap w:val="0"/>
        <w:spacing w:line="420" w:lineRule="exact"/>
        <w:ind w:firstLine="570" w:firstLineChars="200"/>
        <w:jc w:val="right"/>
        <w:rPr>
          <w:rFonts w:hint="eastAsia" w:ascii="仿宋" w:hAnsi="仿宋" w:eastAsia="仿宋" w:cs="仿宋"/>
          <w:color w:val="auto"/>
          <w:kern w:val="0"/>
          <w:sz w:val="28"/>
          <w:szCs w:val="28"/>
        </w:rPr>
      </w:pPr>
    </w:p>
    <w:p w14:paraId="717496DD">
      <w:pPr>
        <w:spacing w:line="420" w:lineRule="exact"/>
        <w:ind w:firstLine="570" w:firstLineChars="200"/>
        <w:jc w:val="right"/>
        <w:rPr>
          <w:rFonts w:hint="eastAsia" w:ascii="仿宋" w:hAnsi="仿宋" w:eastAsia="仿宋" w:cs="仿宋"/>
          <w:color w:val="auto"/>
          <w:kern w:val="0"/>
          <w:sz w:val="28"/>
          <w:szCs w:val="28"/>
        </w:rPr>
      </w:pPr>
    </w:p>
    <w:p w14:paraId="71D5BE5F">
      <w:pPr>
        <w:pStyle w:val="13"/>
        <w:rPr>
          <w:rFonts w:hint="eastAsia" w:ascii="仿宋" w:hAnsi="仿宋" w:eastAsia="仿宋" w:cs="仿宋"/>
          <w:color w:val="auto"/>
          <w:kern w:val="0"/>
          <w:sz w:val="28"/>
          <w:szCs w:val="28"/>
        </w:rPr>
      </w:pPr>
    </w:p>
    <w:p w14:paraId="0A8775B4">
      <w:pPr>
        <w:pStyle w:val="13"/>
        <w:rPr>
          <w:rFonts w:hint="eastAsia" w:ascii="仿宋" w:hAnsi="仿宋" w:eastAsia="仿宋" w:cs="仿宋"/>
          <w:color w:val="auto"/>
          <w:kern w:val="0"/>
          <w:sz w:val="28"/>
          <w:szCs w:val="28"/>
        </w:rPr>
      </w:pPr>
    </w:p>
    <w:p w14:paraId="62157C60">
      <w:pPr>
        <w:spacing w:line="420" w:lineRule="exact"/>
        <w:ind w:firstLine="570" w:firstLineChars="200"/>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 xml:space="preserve">                               </w:t>
      </w:r>
      <w:r>
        <w:rPr>
          <w:rFonts w:hint="eastAsia" w:ascii="仿宋" w:hAnsi="仿宋" w:eastAsia="仿宋" w:cs="仿宋"/>
          <w:color w:val="auto"/>
          <w:kern w:val="0"/>
          <w:sz w:val="28"/>
          <w:szCs w:val="28"/>
        </w:rPr>
        <w:t>投标人：</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（公章）</w:t>
      </w:r>
    </w:p>
    <w:p w14:paraId="0B2FED07">
      <w:pPr>
        <w:wordWrap w:val="0"/>
        <w:spacing w:line="420" w:lineRule="exact"/>
        <w:ind w:right="480" w:firstLine="570" w:firstLineChars="200"/>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 xml:space="preserve">                                      </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日 </w:t>
      </w:r>
    </w:p>
    <w:p w14:paraId="24F8E4EA">
      <w:pPr>
        <w:pStyle w:val="7"/>
        <w:numPr>
          <w:ilvl w:val="0"/>
          <w:numId w:val="0"/>
        </w:numPr>
        <w:kinsoku w:val="0"/>
        <w:overflowPunct w:val="0"/>
        <w:spacing w:before="34" w:line="357" w:lineRule="auto"/>
        <w:ind w:left="480" w:leftChars="0" w:right="126" w:rightChars="0"/>
        <w:jc w:val="center"/>
        <w:rPr>
          <w:rFonts w:hint="eastAsia" w:ascii="仿宋" w:hAnsi="仿宋" w:eastAsia="仿宋" w:cs="仿宋"/>
          <w:b/>
          <w:bCs/>
          <w:color w:val="auto"/>
          <w:sz w:val="28"/>
          <w:szCs w:val="28"/>
        </w:rPr>
      </w:pPr>
      <w:r>
        <w:rPr>
          <w:rFonts w:hint="eastAsia" w:ascii="仿宋" w:hAnsi="仿宋" w:eastAsia="仿宋" w:cs="仿宋"/>
          <w:color w:val="auto"/>
          <w:sz w:val="28"/>
          <w:szCs w:val="28"/>
        </w:rPr>
        <w:br w:type="page"/>
      </w: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、授权委托书</w:t>
      </w:r>
    </w:p>
    <w:p w14:paraId="20D5F553">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致：采购人名称 </w:t>
      </w:r>
    </w:p>
    <w:p w14:paraId="03A2CDD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本授权书声明：注册于（投标人地址）的（投标人名称）法定代表人（负责人）姓名、职务或职称）代表本公司授权（姓名）为本单位的合法代理人，参与贵方组织的（项目名称及项目编号） 的投标、谈判、签约等具体工作，并签署全部有关文件、协议及合同。</w:t>
      </w:r>
    </w:p>
    <w:p w14:paraId="76A4C9A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z w:val="28"/>
          <w:szCs w:val="28"/>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我单位对被授权人的上述经济活动负全部责任。在撤销授权的书面通知前，本授权书一直有效。被授权人在授权书有效期内签署的所有文件不因授权的撤消而失效。</w:t>
      </w:r>
    </w:p>
    <w:p w14:paraId="1C7C737D">
      <w:pPr>
        <w:pStyle w:val="7"/>
        <w:numPr>
          <w:ilvl w:val="0"/>
          <w:numId w:val="0"/>
        </w:numPr>
        <w:kinsoku w:val="0"/>
        <w:overflowPunct w:val="0"/>
        <w:adjustRightInd w:val="0"/>
        <w:snapToGrid w:val="0"/>
        <w:spacing w:line="200" w:lineRule="atLeast"/>
        <w:ind w:right="1947" w:rightChars="795"/>
        <w:jc w:val="center"/>
        <w:rPr>
          <w:rFonts w:hint="eastAsia" w:ascii="仿宋" w:hAnsi="仿宋" w:eastAsia="仿宋" w:cs="仿宋"/>
          <w:color w:val="auto"/>
          <w:sz w:val="28"/>
          <w:szCs w:val="28"/>
        </w:rPr>
      </w:pPr>
      <w:r>
        <w:rPr>
          <w:rFonts w:hint="eastAsia" w:ascii="仿宋" w:hAnsi="仿宋" w:eastAsia="仿宋" w:cs="仿宋"/>
          <w:color w:val="auto"/>
          <w:sz w:val="28"/>
          <w:szCs w:val="28"/>
        </w:rPr>
        <mc:AlternateContent>
          <mc:Choice Requires="wpg">
            <w:drawing>
              <wp:inline distT="0" distB="0" distL="114300" distR="114300">
                <wp:extent cx="5136515" cy="1458595"/>
                <wp:effectExtent l="635" t="635" r="6350" b="7620"/>
                <wp:docPr id="28" name="组合 28"/>
                <wp:cNvGraphicFramePr/>
                <a:graphic xmlns:a="http://schemas.openxmlformats.org/drawingml/2006/main">
                  <a:graphicData uri="http://schemas.microsoft.com/office/word/2010/wordprocessingGroup">
                    <wpg:wgp>
                      <wpg:cNvGrpSpPr>
                        <a:grpSpLocks noRot="1"/>
                      </wpg:cNvGrpSpPr>
                      <wpg:grpSpPr>
                        <a:xfrm>
                          <a:off x="0" y="0"/>
                          <a:ext cx="5136515" cy="1458595"/>
                          <a:chOff x="0" y="0"/>
                          <a:chExt cx="8089" cy="2297"/>
                        </a:xfrm>
                        <a:effectLst/>
                      </wpg:grpSpPr>
                      <wps:wsp>
                        <wps:cNvPr id="33" name="任意多边形 1"/>
                        <wps:cNvSpPr/>
                        <wps:spPr>
                          <a:xfrm>
                            <a:off x="4" y="9"/>
                            <a:ext cx="8079" cy="20"/>
                          </a:xfrm>
                          <a:custGeom>
                            <a:avLst/>
                            <a:gdLst/>
                            <a:ahLst/>
                            <a:cxnLst/>
                            <a:pathLst>
                              <a:path w="8079" h="20">
                                <a:moveTo>
                                  <a:pt x="0" y="0"/>
                                </a:moveTo>
                                <a:lnTo>
                                  <a:pt x="8078" y="0"/>
                                </a:lnTo>
                              </a:path>
                            </a:pathLst>
                          </a:custGeom>
                          <a:noFill/>
                          <a:ln w="6096" cap="flat" cmpd="sng">
                            <a:solidFill>
                              <a:srgbClr val="000000"/>
                            </a:solidFill>
                            <a:prstDash val="solid"/>
                            <a:headEnd type="none" w="med" len="med"/>
                            <a:tailEnd type="none" w="med" len="med"/>
                          </a:ln>
                          <a:effectLst/>
                        </wps:spPr>
                        <wps:bodyPr upright="1"/>
                      </wps:wsp>
                      <wps:wsp>
                        <wps:cNvPr id="2" name="任意多边形 2"/>
                        <wps:cNvSpPr/>
                        <wps:spPr>
                          <a:xfrm>
                            <a:off x="24" y="28"/>
                            <a:ext cx="8041" cy="20"/>
                          </a:xfrm>
                          <a:custGeom>
                            <a:avLst/>
                            <a:gdLst/>
                            <a:ahLst/>
                            <a:cxnLst/>
                            <a:pathLst>
                              <a:path w="8041" h="20">
                                <a:moveTo>
                                  <a:pt x="0" y="0"/>
                                </a:moveTo>
                                <a:lnTo>
                                  <a:pt x="8040" y="0"/>
                                </a:lnTo>
                              </a:path>
                            </a:pathLst>
                          </a:custGeom>
                          <a:noFill/>
                          <a:ln w="6096" cap="flat" cmpd="sng">
                            <a:solidFill>
                              <a:srgbClr val="000000"/>
                            </a:solidFill>
                            <a:prstDash val="solid"/>
                            <a:headEnd type="none" w="med" len="med"/>
                            <a:tailEnd type="none" w="med" len="med"/>
                          </a:ln>
                          <a:effectLst/>
                        </wps:spPr>
                        <wps:bodyPr upright="1"/>
                      </wps:wsp>
                      <wps:wsp>
                        <wps:cNvPr id="3" name="任意多边形 3"/>
                        <wps:cNvSpPr/>
                        <wps:spPr>
                          <a:xfrm>
                            <a:off x="24" y="2267"/>
                            <a:ext cx="8041" cy="20"/>
                          </a:xfrm>
                          <a:custGeom>
                            <a:avLst/>
                            <a:gdLst/>
                            <a:ahLst/>
                            <a:cxnLst/>
                            <a:pathLst>
                              <a:path w="8041" h="20">
                                <a:moveTo>
                                  <a:pt x="0" y="0"/>
                                </a:moveTo>
                                <a:lnTo>
                                  <a:pt x="8040" y="0"/>
                                </a:lnTo>
                              </a:path>
                            </a:pathLst>
                          </a:custGeom>
                          <a:noFill/>
                          <a:ln w="6096" cap="flat" cmpd="sng">
                            <a:solidFill>
                              <a:srgbClr val="000000"/>
                            </a:solidFill>
                            <a:prstDash val="solid"/>
                            <a:headEnd type="none" w="med" len="med"/>
                            <a:tailEnd type="none" w="med" len="med"/>
                          </a:ln>
                          <a:effectLst/>
                        </wps:spPr>
                        <wps:bodyPr upright="1"/>
                      </wps:wsp>
                      <wps:wsp>
                        <wps:cNvPr id="4" name="任意多边形 4"/>
                        <wps:cNvSpPr/>
                        <wps:spPr>
                          <a:xfrm>
                            <a:off x="4" y="2286"/>
                            <a:ext cx="8079" cy="20"/>
                          </a:xfrm>
                          <a:custGeom>
                            <a:avLst/>
                            <a:gdLst/>
                            <a:ahLst/>
                            <a:cxnLst/>
                            <a:pathLst>
                              <a:path w="8079" h="20">
                                <a:moveTo>
                                  <a:pt x="0" y="0"/>
                                </a:moveTo>
                                <a:lnTo>
                                  <a:pt x="8078" y="0"/>
                                </a:lnTo>
                              </a:path>
                            </a:pathLst>
                          </a:custGeom>
                          <a:noFill/>
                          <a:ln w="6096" cap="flat" cmpd="sng">
                            <a:solidFill>
                              <a:srgbClr val="000000"/>
                            </a:solidFill>
                            <a:prstDash val="solid"/>
                            <a:headEnd type="none" w="med" len="med"/>
                            <a:tailEnd type="none" w="med" len="med"/>
                          </a:ln>
                          <a:effectLst/>
                        </wps:spPr>
                        <wps:bodyPr upright="1"/>
                      </wps:wsp>
                      <wps:wsp>
                        <wps:cNvPr id="5" name="任意多边形 5"/>
                        <wps:cNvSpPr/>
                        <wps:spPr>
                          <a:xfrm>
                            <a:off x="9" y="4"/>
                            <a:ext cx="20" cy="2287"/>
                          </a:xfrm>
                          <a:custGeom>
                            <a:avLst/>
                            <a:gdLst/>
                            <a:ahLst/>
                            <a:cxnLst/>
                            <a:pathLst>
                              <a:path w="20" h="2287">
                                <a:moveTo>
                                  <a:pt x="0" y="0"/>
                                </a:moveTo>
                                <a:lnTo>
                                  <a:pt x="0" y="2286"/>
                                </a:lnTo>
                              </a:path>
                            </a:pathLst>
                          </a:custGeom>
                          <a:noFill/>
                          <a:ln w="6096" cap="flat" cmpd="sng">
                            <a:solidFill>
                              <a:srgbClr val="000000"/>
                            </a:solidFill>
                            <a:prstDash val="solid"/>
                            <a:headEnd type="none" w="med" len="med"/>
                            <a:tailEnd type="none" w="med" len="med"/>
                          </a:ln>
                          <a:effectLst/>
                        </wps:spPr>
                        <wps:bodyPr upright="1"/>
                      </wps:wsp>
                      <wps:wsp>
                        <wps:cNvPr id="6" name="任意多边形 6"/>
                        <wps:cNvSpPr/>
                        <wps:spPr>
                          <a:xfrm>
                            <a:off x="28" y="24"/>
                            <a:ext cx="20" cy="2249"/>
                          </a:xfrm>
                          <a:custGeom>
                            <a:avLst/>
                            <a:gdLst/>
                            <a:ahLst/>
                            <a:cxnLst/>
                            <a:pathLst>
                              <a:path w="20" h="2249">
                                <a:moveTo>
                                  <a:pt x="0" y="0"/>
                                </a:moveTo>
                                <a:lnTo>
                                  <a:pt x="0" y="2248"/>
                                </a:lnTo>
                              </a:path>
                            </a:pathLst>
                          </a:custGeom>
                          <a:noFill/>
                          <a:ln w="6096" cap="flat" cmpd="sng">
                            <a:solidFill>
                              <a:srgbClr val="000000"/>
                            </a:solidFill>
                            <a:prstDash val="solid"/>
                            <a:headEnd type="none" w="med" len="med"/>
                            <a:tailEnd type="none" w="med" len="med"/>
                          </a:ln>
                          <a:effectLst/>
                        </wps:spPr>
                        <wps:bodyPr upright="1"/>
                      </wps:wsp>
                      <wps:wsp>
                        <wps:cNvPr id="7" name="任意多边形 7"/>
                        <wps:cNvSpPr/>
                        <wps:spPr>
                          <a:xfrm>
                            <a:off x="4034" y="24"/>
                            <a:ext cx="20" cy="2239"/>
                          </a:xfrm>
                          <a:custGeom>
                            <a:avLst/>
                            <a:gdLst/>
                            <a:ahLst/>
                            <a:cxnLst/>
                            <a:pathLst>
                              <a:path w="20" h="2239">
                                <a:moveTo>
                                  <a:pt x="0" y="0"/>
                                </a:moveTo>
                                <a:lnTo>
                                  <a:pt x="0" y="2238"/>
                                </a:lnTo>
                              </a:path>
                            </a:pathLst>
                          </a:custGeom>
                          <a:noFill/>
                          <a:ln w="6096" cap="flat" cmpd="sng">
                            <a:solidFill>
                              <a:srgbClr val="000000"/>
                            </a:solidFill>
                            <a:prstDash val="solid"/>
                            <a:headEnd type="none" w="med" len="med"/>
                            <a:tailEnd type="none" w="med" len="med"/>
                          </a:ln>
                          <a:effectLst/>
                        </wps:spPr>
                        <wps:bodyPr upright="1"/>
                      </wps:wsp>
                      <wps:wsp>
                        <wps:cNvPr id="8" name="任意多边形 8"/>
                        <wps:cNvSpPr/>
                        <wps:spPr>
                          <a:xfrm>
                            <a:off x="4053" y="24"/>
                            <a:ext cx="20" cy="2239"/>
                          </a:xfrm>
                          <a:custGeom>
                            <a:avLst/>
                            <a:gdLst/>
                            <a:ahLst/>
                            <a:cxnLst/>
                            <a:pathLst>
                              <a:path w="20" h="2239">
                                <a:moveTo>
                                  <a:pt x="0" y="0"/>
                                </a:moveTo>
                                <a:lnTo>
                                  <a:pt x="0" y="2238"/>
                                </a:lnTo>
                              </a:path>
                            </a:pathLst>
                          </a:custGeom>
                          <a:noFill/>
                          <a:ln w="6096" cap="flat" cmpd="sng">
                            <a:solidFill>
                              <a:srgbClr val="000000"/>
                            </a:solidFill>
                            <a:prstDash val="solid"/>
                            <a:headEnd type="none" w="med" len="med"/>
                            <a:tailEnd type="none" w="med" len="med"/>
                          </a:ln>
                          <a:effectLst/>
                        </wps:spPr>
                        <wps:bodyPr upright="1"/>
                      </wps:wsp>
                      <wps:wsp>
                        <wps:cNvPr id="9" name="任意多边形 9"/>
                        <wps:cNvSpPr/>
                        <wps:spPr>
                          <a:xfrm>
                            <a:off x="8059" y="33"/>
                            <a:ext cx="20" cy="2239"/>
                          </a:xfrm>
                          <a:custGeom>
                            <a:avLst/>
                            <a:gdLst/>
                            <a:ahLst/>
                            <a:cxnLst/>
                            <a:pathLst>
                              <a:path w="20" h="2239">
                                <a:moveTo>
                                  <a:pt x="0" y="0"/>
                                </a:moveTo>
                                <a:lnTo>
                                  <a:pt x="0" y="2238"/>
                                </a:lnTo>
                              </a:path>
                            </a:pathLst>
                          </a:custGeom>
                          <a:noFill/>
                          <a:ln w="6096" cap="flat" cmpd="sng">
                            <a:solidFill>
                              <a:srgbClr val="000000"/>
                            </a:solidFill>
                            <a:prstDash val="solid"/>
                            <a:headEnd type="none" w="med" len="med"/>
                            <a:tailEnd type="none" w="med" len="med"/>
                          </a:ln>
                          <a:effectLst/>
                        </wps:spPr>
                        <wps:bodyPr upright="1"/>
                      </wps:wsp>
                      <wps:wsp>
                        <wps:cNvPr id="10" name="任意多边形 10"/>
                        <wps:cNvSpPr/>
                        <wps:spPr>
                          <a:xfrm>
                            <a:off x="8078" y="14"/>
                            <a:ext cx="20" cy="2278"/>
                          </a:xfrm>
                          <a:custGeom>
                            <a:avLst/>
                            <a:gdLst/>
                            <a:ahLst/>
                            <a:cxnLst/>
                            <a:pathLst>
                              <a:path w="20" h="2278">
                                <a:moveTo>
                                  <a:pt x="0" y="0"/>
                                </a:moveTo>
                                <a:lnTo>
                                  <a:pt x="0" y="2277"/>
                                </a:lnTo>
                              </a:path>
                            </a:pathLst>
                          </a:custGeom>
                          <a:noFill/>
                          <a:ln w="6096" cap="flat" cmpd="sng">
                            <a:solidFill>
                              <a:srgbClr val="000000"/>
                            </a:solidFill>
                            <a:prstDash val="solid"/>
                            <a:headEnd type="none" w="med" len="med"/>
                            <a:tailEnd type="none" w="med" len="med"/>
                          </a:ln>
                          <a:effectLst/>
                        </wps:spPr>
                        <wps:bodyPr upright="1"/>
                      </wps:wsp>
                      <wps:wsp>
                        <wps:cNvPr id="11" name="文本框 11"/>
                        <wps:cNvSpPr txBox="1"/>
                        <wps:spPr>
                          <a:xfrm>
                            <a:off x="19" y="19"/>
                            <a:ext cx="4025" cy="2258"/>
                          </a:xfrm>
                          <a:prstGeom prst="rect">
                            <a:avLst/>
                          </a:prstGeom>
                          <a:noFill/>
                          <a:ln w="25400" cap="flat" cmpd="sng" algn="ctr">
                            <a:solidFill>
                              <a:srgbClr val="000000"/>
                            </a:solidFill>
                            <a:prstDash val="solid"/>
                          </a:ln>
                          <a:effectLst/>
                        </wps:spPr>
                        <wps:txbx>
                          <w:txbxContent>
                            <w:p w14:paraId="58864CB8">
                              <w:pPr>
                                <w:pStyle w:val="7"/>
                                <w:numPr>
                                  <w:ilvl w:val="0"/>
                                  <w:numId w:val="0"/>
                                </w:numPr>
                                <w:kinsoku w:val="0"/>
                                <w:overflowPunct w:val="0"/>
                                <w:spacing w:before="12"/>
                                <w:ind w:leftChars="0" w:right="0" w:rightChars="0"/>
                                <w:rPr>
                                  <w:rFonts w:hint="eastAsia" w:ascii="仿宋" w:hAnsi="仿宋" w:eastAsia="仿宋" w:cs="仿宋"/>
                                  <w:b w:val="0"/>
                                  <w:bCs w:val="0"/>
                                  <w:sz w:val="28"/>
                                  <w:szCs w:val="28"/>
                                </w:rPr>
                              </w:pPr>
                            </w:p>
                            <w:p w14:paraId="3FEEE1F1">
                              <w:pPr>
                                <w:pStyle w:val="7"/>
                                <w:numPr>
                                  <w:ilvl w:val="0"/>
                                  <w:numId w:val="0"/>
                                </w:numPr>
                                <w:kinsoku w:val="0"/>
                                <w:overflowPunct w:val="0"/>
                                <w:ind w:right="0" w:rightChars="0"/>
                                <w:jc w:val="center"/>
                                <w:rPr>
                                  <w:rFonts w:hint="eastAsia" w:ascii="仿宋" w:hAnsi="仿宋" w:eastAsia="仿宋" w:cs="仿宋"/>
                                </w:rPr>
                              </w:pPr>
                            </w:p>
                            <w:p w14:paraId="4BAF7526">
                              <w:pPr>
                                <w:pStyle w:val="7"/>
                                <w:numPr>
                                  <w:ilvl w:val="0"/>
                                  <w:numId w:val="0"/>
                                </w:numPr>
                                <w:kinsoku w:val="0"/>
                                <w:overflowPunct w:val="0"/>
                                <w:ind w:right="0" w:rightChars="0"/>
                                <w:jc w:val="center"/>
                                <w:rPr>
                                  <w:rFonts w:hint="default" w:ascii="仿宋" w:hAnsi="仿宋" w:eastAsia="仿宋" w:cs="仿宋"/>
                                  <w:b/>
                                  <w:bCs/>
                                  <w:sz w:val="24"/>
                                  <w:szCs w:val="24"/>
                                  <w:lang w:val="en-US" w:eastAsia="zh-CN"/>
                                </w:rPr>
                              </w:pPr>
                              <w:r>
                                <w:rPr>
                                  <w:rFonts w:hint="eastAsia" w:ascii="仿宋" w:hAnsi="仿宋" w:eastAsia="仿宋" w:cs="仿宋"/>
                                  <w:b/>
                                  <w:bCs/>
                                  <w:sz w:val="24"/>
                                  <w:szCs w:val="24"/>
                                </w:rPr>
                                <w:t>授权人身份证复印件（正面）</w:t>
                              </w:r>
                              <w:r>
                                <w:rPr>
                                  <w:rFonts w:hint="eastAsia" w:ascii="仿宋" w:hAnsi="仿宋" w:eastAsia="仿宋" w:cs="仿宋"/>
                                  <w:b/>
                                  <w:bCs/>
                                  <w:sz w:val="24"/>
                                  <w:szCs w:val="24"/>
                                  <w:lang w:val="en-US" w:eastAsia="zh-CN"/>
                                </w:rPr>
                                <w:t xml:space="preserve">  </w:t>
                              </w:r>
                            </w:p>
                          </w:txbxContent>
                        </wps:txbx>
                        <wps:bodyPr lIns="0" tIns="0" rIns="0" bIns="0" upright="1"/>
                      </wps:wsp>
                      <wps:wsp>
                        <wps:cNvPr id="12" name="文本框 12"/>
                        <wps:cNvSpPr txBox="1"/>
                        <wps:spPr>
                          <a:xfrm>
                            <a:off x="4044" y="19"/>
                            <a:ext cx="4025" cy="2258"/>
                          </a:xfrm>
                          <a:prstGeom prst="rect">
                            <a:avLst/>
                          </a:prstGeom>
                          <a:noFill/>
                          <a:ln w="25400" cap="flat" cmpd="sng" algn="ctr">
                            <a:solidFill>
                              <a:srgbClr val="000000"/>
                            </a:solidFill>
                            <a:prstDash val="solid"/>
                          </a:ln>
                          <a:effectLst/>
                        </wps:spPr>
                        <wps:txbx>
                          <w:txbxContent>
                            <w:p w14:paraId="71ECBD46">
                              <w:pPr>
                                <w:pStyle w:val="7"/>
                                <w:numPr>
                                  <w:ilvl w:val="0"/>
                                  <w:numId w:val="0"/>
                                </w:numPr>
                                <w:shd w:val="clear" w:color="auto" w:fill="auto"/>
                                <w:kinsoku w:val="0"/>
                                <w:overflowPunct w:val="0"/>
                                <w:ind w:right="0" w:rightChars="0"/>
                                <w:jc w:val="center"/>
                                <w:rPr>
                                  <w:rFonts w:hint="eastAsia" w:ascii="仿宋" w:hAnsi="仿宋" w:eastAsia="仿宋" w:cs="仿宋"/>
                                </w:rPr>
                              </w:pPr>
                            </w:p>
                            <w:p w14:paraId="74B18546">
                              <w:pPr>
                                <w:pStyle w:val="7"/>
                                <w:numPr>
                                  <w:ilvl w:val="0"/>
                                  <w:numId w:val="0"/>
                                </w:numPr>
                                <w:shd w:val="clear" w:color="auto" w:fill="auto"/>
                                <w:kinsoku w:val="0"/>
                                <w:overflowPunct w:val="0"/>
                                <w:ind w:right="0" w:rightChars="0"/>
                                <w:jc w:val="center"/>
                                <w:rPr>
                                  <w:rFonts w:hint="eastAsia" w:ascii="仿宋" w:hAnsi="仿宋" w:eastAsia="仿宋" w:cs="仿宋"/>
                                </w:rPr>
                              </w:pPr>
                            </w:p>
                            <w:p w14:paraId="01E01066">
                              <w:pPr>
                                <w:pStyle w:val="7"/>
                                <w:numPr>
                                  <w:ilvl w:val="0"/>
                                  <w:numId w:val="0"/>
                                </w:numPr>
                                <w:shd w:val="clear" w:color="auto" w:fill="auto"/>
                                <w:kinsoku w:val="0"/>
                                <w:overflowPunct w:val="0"/>
                                <w:ind w:right="0" w:rightChars="0"/>
                                <w:jc w:val="center"/>
                                <w:rPr>
                                  <w:rFonts w:hint="eastAsia" w:ascii="仿宋" w:hAnsi="仿宋" w:eastAsia="仿宋" w:cs="仿宋"/>
                                  <w:sz w:val="24"/>
                                  <w:szCs w:val="24"/>
                                </w:rPr>
                              </w:pPr>
                            </w:p>
                            <w:p w14:paraId="57BFE90B">
                              <w:pPr>
                                <w:pStyle w:val="7"/>
                                <w:numPr>
                                  <w:ilvl w:val="0"/>
                                  <w:numId w:val="0"/>
                                </w:numPr>
                                <w:shd w:val="clear" w:color="auto" w:fill="auto"/>
                                <w:kinsoku w:val="0"/>
                                <w:overflowPunct w:val="0"/>
                                <w:ind w:right="0" w:rightChars="0"/>
                                <w:jc w:val="center"/>
                                <w:rPr>
                                  <w:rFonts w:hint="eastAsia" w:ascii="仿宋" w:hAnsi="仿宋" w:eastAsia="仿宋" w:cs="仿宋"/>
                                  <w:sz w:val="24"/>
                                  <w:szCs w:val="24"/>
                                </w:rPr>
                              </w:pPr>
                              <w:r>
                                <w:rPr>
                                  <w:rFonts w:hint="eastAsia" w:ascii="仿宋" w:hAnsi="仿宋" w:eastAsia="仿宋" w:cs="仿宋"/>
                                  <w:b/>
                                  <w:bCs/>
                                  <w:sz w:val="24"/>
                                  <w:szCs w:val="24"/>
                                </w:rPr>
                                <w:t>授权人身份证复印件（反面）</w:t>
                              </w:r>
                            </w:p>
                          </w:txbxContent>
                        </wps:txbx>
                        <wps:bodyPr lIns="0" tIns="0" rIns="0" bIns="0" upright="1"/>
                      </wps:wsp>
                    </wpg:wgp>
                  </a:graphicData>
                </a:graphic>
              </wp:inline>
            </w:drawing>
          </mc:Choice>
          <mc:Fallback>
            <w:pict>
              <v:group id="_x0000_s1026" o:spid="_x0000_s1026" o:spt="203" style="height:114.85pt;width:404.45pt;" coordsize="8089,2297" o:gfxdata="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">
                <o:lock v:ext="edit" rotation="t" aspectratio="f"/>
                <v:shape id="任意多边形 1" o:spid="_x0000_s1026" o:spt="100" style="position:absolute;left:4;top:9;height:20;width:8079;" filled="f" stroked="t" coordsize="8079,20" o:gfxdata="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7C4NG8AAAA&#10;2wAAAA8AAAAAAAAAAQAgAAAAIgAAAGRycy9kb3ducmV2LnhtbFBLAQIUABQAAAAIAIdO4kAzLwWe&#10;OwAAADkAAAAQAAAAAAAAAAEAIAAAAAsBAABkcnMvc2hhcGV4bWwueG1sUEsFBgAAAAAGAAYAWwEA&#10;ALUDAAAAAA==&#10;" path="m0,0l8078,0e">
                  <v:fill on="f" focussize="0,0"/>
                  <v:stroke weight="0.48pt" color="#000000" joinstyle="round"/>
                  <v:imagedata o:title=""/>
                  <o:lock v:ext="edit" aspectratio="f"/>
                </v:shape>
                <v:shape id="_x0000_s1026" o:spid="_x0000_s1026" o:spt="100" style="position:absolute;left:24;top:28;height:20;width:8041;" filled="f" stroked="t" coordsize="8041,20" o:gfxdata="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tvKxbsAAADa&#10;AAAADwAAAAAAAAABACAAAAAiAAAAZHJzL2Rvd25yZXYueG1sUEsBAhQAFAAAAAgAh07iQDMvBZ47&#10;AAAAOQAAABAAAAAAAAAAAQAgAAAACgEAAGRycy9zaGFwZXhtbC54bWxQSwUGAAAAAAYABgBbAQAA&#10;tAMAAAAA&#10;" path="m0,0l8040,0e">
                  <v:fill on="f" focussize="0,0"/>
                  <v:stroke weight="0.48pt" color="#000000" joinstyle="round"/>
                  <v:imagedata o:title=""/>
                  <o:lock v:ext="edit" aspectratio="f"/>
                </v:shape>
                <v:shape id="_x0000_s1026" o:spid="_x0000_s1026" o:spt="100" style="position:absolute;left:24;top:2267;height:20;width:8041;" filled="f" stroked="t" coordsize="8041,20" o:gfxdata="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mXb168AAAA&#10;2gAAAA8AAAAAAAAAAQAgAAAAIgAAAGRycy9kb3ducmV2LnhtbFBLAQIUABQAAAAIAIdO4kAzLwWe&#10;OwAAADkAAAAQAAAAAAAAAAEAIAAAAAsBAABkcnMvc2hhcGV4bWwueG1sUEsFBgAAAAAGAAYAWwEA&#10;ALUDAAAAAA==&#10;" path="m0,0l8040,0e">
                  <v:fill on="f" focussize="0,0"/>
                  <v:stroke weight="0.48pt" color="#000000" joinstyle="round"/>
                  <v:imagedata o:title=""/>
                  <o:lock v:ext="edit" aspectratio="f"/>
                </v:shape>
                <v:shape id="_x0000_s1026" o:spid="_x0000_s1026" o:spt="100" style="position:absolute;left:4;top:2286;height:20;width:8079;" filled="f" stroked="t" coordsize="8079,20" o:gfxdata="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xCs4W8AAAA&#10;2gAAAA8AAAAAAAAAAQAgAAAAIgAAAGRycy9kb3ducmV2LnhtbFBLAQIUABQAAAAIAIdO4kAzLwWe&#10;OwAAADkAAAAQAAAAAAAAAAEAIAAAAAsBAABkcnMvc2hhcGV4bWwueG1sUEsFBgAAAAAGAAYAWwEA&#10;ALUDAAAAAA==&#10;" path="m0,0l8078,0e">
                  <v:fill on="f" focussize="0,0"/>
                  <v:stroke weight="0.48pt" color="#000000" joinstyle="round"/>
                  <v:imagedata o:title=""/>
                  <o:lock v:ext="edit" aspectratio="f"/>
                </v:shape>
                <v:shape id="_x0000_s1026" o:spid="_x0000_s1026" o:spt="100" style="position:absolute;left:9;top:4;height:2287;width:20;" filled="f" stroked="t" coordsize="20,2287" o:gfxdata="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MWGLsAAADa&#10;AAAADwAAAAAAAAABACAAAAAiAAAAZHJzL2Rvd25yZXYueG1sUEsBAhQAFAAAAAgAh07iQDMvBZ47&#10;AAAAOQAAABAAAAAAAAAAAQAgAAAACgEAAGRycy9zaGFwZXhtbC54bWxQSwUGAAAAAAYABgBbAQAA&#10;tAMAAAAA&#10;" path="m0,0l0,2286e">
                  <v:fill on="f" focussize="0,0"/>
                  <v:stroke weight="0.48pt" color="#000000" joinstyle="round"/>
                  <v:imagedata o:title=""/>
                  <o:lock v:ext="edit" aspectratio="f"/>
                </v:shape>
                <v:shape id="_x0000_s1026" o:spid="_x0000_s1026" o:spt="100" style="position:absolute;left:28;top:24;height:2249;width:20;" filled="f" stroked="t" coordsize="20,2249" o:gfxdata="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HZDJ74A&#10;AADaAAAADwAAAAAAAAABACAAAAAiAAAAZHJzL2Rvd25yZXYueG1sUEsBAhQAFAAAAAgAh07iQDMv&#10;BZ47AAAAOQAAABAAAAAAAAAAAQAgAAAADQEAAGRycy9zaGFwZXhtbC54bWxQSwUGAAAAAAYABgBb&#10;AQAAtwMAAAAA&#10;" path="m0,0l0,2248e">
                  <v:fill on="f" focussize="0,0"/>
                  <v:stroke weight="0.48pt" color="#000000" joinstyle="round"/>
                  <v:imagedata o:title=""/>
                  <o:lock v:ext="edit" aspectratio="f"/>
                </v:shape>
                <v:shape id="_x0000_s1026" o:spid="_x0000_s1026" o:spt="100" style="position:absolute;left:4034;top:24;height:2239;width:20;" filled="f" stroked="t" coordsize="20,2239" o:gfxdata="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sqAfvugAAANoA&#10;AAAPAAAAAAAAAAEAIAAAACIAAABkcnMvZG93bnJldi54bWxQSwECFAAUAAAACACHTuJAMy8FnjsA&#10;AAA5AAAAEAAAAAAAAAABACAAAAAJAQAAZHJzL3NoYXBleG1sLnhtbFBLBQYAAAAABgAGAFsBAACz&#10;AwAAAAA=&#10;" path="m0,0l0,2238e">
                  <v:fill on="f" focussize="0,0"/>
                  <v:stroke weight="0.48pt" color="#000000" joinstyle="round"/>
                  <v:imagedata o:title=""/>
                  <o:lock v:ext="edit" aspectratio="f"/>
                </v:shape>
                <v:shape id="_x0000_s1026" o:spid="_x0000_s1026" o:spt="100" style="position:absolute;left:4053;top:24;height:2239;width:20;" filled="f" stroked="t" coordsize="20,2239" o:gfxdata="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03k522AAAA2gAAAA8A&#10;AAAAAAAAAQAgAAAAIgAAAGRycy9kb3ducmV2LnhtbFBLAQIUABQAAAAIAIdO4kAzLwWeOwAAADkA&#10;AAAQAAAAAAAAAAEAIAAAAAUBAABkcnMvc2hhcGV4bWwueG1sUEsFBgAAAAAGAAYAWwEAAK8DAAAA&#10;AA==&#10;" path="m0,0l0,2238e">
                  <v:fill on="f" focussize="0,0"/>
                  <v:stroke weight="0.48pt" color="#000000" joinstyle="round"/>
                  <v:imagedata o:title=""/>
                  <o:lock v:ext="edit" aspectratio="f"/>
                </v:shape>
                <v:shape id="_x0000_s1026" o:spid="_x0000_s1026" o:spt="100" style="position:absolute;left:8059;top:33;height:2239;width:20;" filled="f" stroked="t" coordsize="20,2239" o:gfxdata="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yezYGugAAANoA&#10;AAAPAAAAAAAAAAEAIAAAACIAAABkcnMvZG93bnJldi54bWxQSwECFAAUAAAACACHTuJAMy8FnjsA&#10;AAA5AAAAEAAAAAAAAAABACAAAAAJAQAAZHJzL3NoYXBleG1sLnhtbFBLBQYAAAAABgAGAFsBAACz&#10;AwAAAAA=&#10;" path="m0,0l0,2238e">
                  <v:fill on="f" focussize="0,0"/>
                  <v:stroke weight="0.48pt" color="#000000" joinstyle="round"/>
                  <v:imagedata o:title=""/>
                  <o:lock v:ext="edit" aspectratio="f"/>
                </v:shape>
                <v:shape id="_x0000_s1026" o:spid="_x0000_s1026" o:spt="100" style="position:absolute;left:8078;top:14;height:2278;width:20;" filled="f" stroked="t" coordsize="20,2278" o:gfxdata="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FAghb4A&#10;AADbAAAADwAAAAAAAAABACAAAAAiAAAAZHJzL2Rvd25yZXYueG1sUEsBAhQAFAAAAAgAh07iQDMv&#10;BZ47AAAAOQAAABAAAAAAAAAAAQAgAAAADQEAAGRycy9zaGFwZXhtbC54bWxQSwUGAAAAAAYABgBb&#10;AQAAtwMAAAAA&#10;" path="m0,0l0,2277e">
                  <v:fill on="f" focussize="0,0"/>
                  <v:stroke weight="0.48pt" color="#000000" joinstyle="round"/>
                  <v:imagedata o:title=""/>
                  <o:lock v:ext="edit" aspectratio="f"/>
                </v:shape>
                <v:shape id="_x0000_s1026" o:spid="_x0000_s1026" o:spt="202" type="#_x0000_t202" style="position:absolute;left:19;top:19;height:2258;width:4025;" filled="f" stroked="t" coordsize="21600,21600" o:gfxdata="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8FvHbsAAADb&#10;AAAADwAAAAAAAAABACAAAAAiAAAAZHJzL2Rvd25yZXYueG1sUEsBAhQAFAAAAAgAh07iQDMvBZ47&#10;AAAAOQAAABAAAAAAAAAAAQAgAAAACgEAAGRycy9zaGFwZXhtbC54bWxQSwUGAAAAAAYABgBbAQAA&#10;tAMAAAAA&#10;">
                  <v:fill on="f" focussize="0,0"/>
                  <v:stroke weight="2pt" color="#000000" joinstyle="round"/>
                  <v:imagedata o:title=""/>
                  <o:lock v:ext="edit" aspectratio="f"/>
                  <v:textbox inset="0mm,0mm,0mm,0mm">
                    <w:txbxContent>
                      <w:p w14:paraId="58864CB8">
                        <w:pPr>
                          <w:pStyle w:val="7"/>
                          <w:numPr>
                            <w:ilvl w:val="0"/>
                            <w:numId w:val="0"/>
                          </w:numPr>
                          <w:kinsoku w:val="0"/>
                          <w:overflowPunct w:val="0"/>
                          <w:spacing w:before="12"/>
                          <w:ind w:leftChars="0" w:right="0" w:rightChars="0"/>
                          <w:rPr>
                            <w:rFonts w:hint="eastAsia" w:ascii="仿宋" w:hAnsi="仿宋" w:eastAsia="仿宋" w:cs="仿宋"/>
                            <w:b w:val="0"/>
                            <w:bCs w:val="0"/>
                            <w:sz w:val="28"/>
                            <w:szCs w:val="28"/>
                          </w:rPr>
                        </w:pPr>
                      </w:p>
                      <w:p w14:paraId="3FEEE1F1">
                        <w:pPr>
                          <w:pStyle w:val="7"/>
                          <w:numPr>
                            <w:ilvl w:val="0"/>
                            <w:numId w:val="0"/>
                          </w:numPr>
                          <w:kinsoku w:val="0"/>
                          <w:overflowPunct w:val="0"/>
                          <w:ind w:right="0" w:rightChars="0"/>
                          <w:jc w:val="center"/>
                          <w:rPr>
                            <w:rFonts w:hint="eastAsia" w:ascii="仿宋" w:hAnsi="仿宋" w:eastAsia="仿宋" w:cs="仿宋"/>
                          </w:rPr>
                        </w:pPr>
                      </w:p>
                      <w:p w14:paraId="4BAF7526">
                        <w:pPr>
                          <w:pStyle w:val="7"/>
                          <w:numPr>
                            <w:ilvl w:val="0"/>
                            <w:numId w:val="0"/>
                          </w:numPr>
                          <w:kinsoku w:val="0"/>
                          <w:overflowPunct w:val="0"/>
                          <w:ind w:right="0" w:rightChars="0"/>
                          <w:jc w:val="center"/>
                          <w:rPr>
                            <w:rFonts w:hint="default" w:ascii="仿宋" w:hAnsi="仿宋" w:eastAsia="仿宋" w:cs="仿宋"/>
                            <w:b/>
                            <w:bCs/>
                            <w:sz w:val="24"/>
                            <w:szCs w:val="24"/>
                            <w:lang w:val="en-US" w:eastAsia="zh-CN"/>
                          </w:rPr>
                        </w:pPr>
                        <w:r>
                          <w:rPr>
                            <w:rFonts w:hint="eastAsia" w:ascii="仿宋" w:hAnsi="仿宋" w:eastAsia="仿宋" w:cs="仿宋"/>
                            <w:b/>
                            <w:bCs/>
                            <w:sz w:val="24"/>
                            <w:szCs w:val="24"/>
                          </w:rPr>
                          <w:t>授权人身份证复印件（正面）</w:t>
                        </w:r>
                        <w:r>
                          <w:rPr>
                            <w:rFonts w:hint="eastAsia" w:ascii="仿宋" w:hAnsi="仿宋" w:eastAsia="仿宋" w:cs="仿宋"/>
                            <w:b/>
                            <w:bCs/>
                            <w:sz w:val="24"/>
                            <w:szCs w:val="24"/>
                            <w:lang w:val="en-US" w:eastAsia="zh-CN"/>
                          </w:rPr>
                          <w:t xml:space="preserve">  </w:t>
                        </w:r>
                      </w:p>
                    </w:txbxContent>
                  </v:textbox>
                </v:shape>
                <v:shape id="_x0000_s1026" o:spid="_x0000_s1026" o:spt="202" type="#_x0000_t202" style="position:absolute;left:4044;top:19;height:2258;width:4025;" filled="f" stroked="t" coordsize="21600,21600" o:gfxdata="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xPxarsAAADb&#10;AAAADwAAAAAAAAABACAAAAAiAAAAZHJzL2Rvd25yZXYueG1sUEsBAhQAFAAAAAgAh07iQDMvBZ47&#10;AAAAOQAAABAAAAAAAAAAAQAgAAAACgEAAGRycy9zaGFwZXhtbC54bWxQSwUGAAAAAAYABgBbAQAA&#10;tAMAAAAA&#10;">
                  <v:fill on="f" focussize="0,0"/>
                  <v:stroke weight="2pt" color="#000000" joinstyle="round"/>
                  <v:imagedata o:title=""/>
                  <o:lock v:ext="edit" aspectratio="f"/>
                  <v:textbox inset="0mm,0mm,0mm,0mm">
                    <w:txbxContent>
                      <w:p w14:paraId="71ECBD46">
                        <w:pPr>
                          <w:pStyle w:val="7"/>
                          <w:numPr>
                            <w:ilvl w:val="0"/>
                            <w:numId w:val="0"/>
                          </w:numPr>
                          <w:shd w:val="clear" w:color="auto" w:fill="auto"/>
                          <w:kinsoku w:val="0"/>
                          <w:overflowPunct w:val="0"/>
                          <w:ind w:right="0" w:rightChars="0"/>
                          <w:jc w:val="center"/>
                          <w:rPr>
                            <w:rFonts w:hint="eastAsia" w:ascii="仿宋" w:hAnsi="仿宋" w:eastAsia="仿宋" w:cs="仿宋"/>
                          </w:rPr>
                        </w:pPr>
                      </w:p>
                      <w:p w14:paraId="74B18546">
                        <w:pPr>
                          <w:pStyle w:val="7"/>
                          <w:numPr>
                            <w:ilvl w:val="0"/>
                            <w:numId w:val="0"/>
                          </w:numPr>
                          <w:shd w:val="clear" w:color="auto" w:fill="auto"/>
                          <w:kinsoku w:val="0"/>
                          <w:overflowPunct w:val="0"/>
                          <w:ind w:right="0" w:rightChars="0"/>
                          <w:jc w:val="center"/>
                          <w:rPr>
                            <w:rFonts w:hint="eastAsia" w:ascii="仿宋" w:hAnsi="仿宋" w:eastAsia="仿宋" w:cs="仿宋"/>
                          </w:rPr>
                        </w:pPr>
                      </w:p>
                      <w:p w14:paraId="01E01066">
                        <w:pPr>
                          <w:pStyle w:val="7"/>
                          <w:numPr>
                            <w:ilvl w:val="0"/>
                            <w:numId w:val="0"/>
                          </w:numPr>
                          <w:shd w:val="clear" w:color="auto" w:fill="auto"/>
                          <w:kinsoku w:val="0"/>
                          <w:overflowPunct w:val="0"/>
                          <w:ind w:right="0" w:rightChars="0"/>
                          <w:jc w:val="center"/>
                          <w:rPr>
                            <w:rFonts w:hint="eastAsia" w:ascii="仿宋" w:hAnsi="仿宋" w:eastAsia="仿宋" w:cs="仿宋"/>
                            <w:sz w:val="24"/>
                            <w:szCs w:val="24"/>
                          </w:rPr>
                        </w:pPr>
                      </w:p>
                      <w:p w14:paraId="57BFE90B">
                        <w:pPr>
                          <w:pStyle w:val="7"/>
                          <w:numPr>
                            <w:ilvl w:val="0"/>
                            <w:numId w:val="0"/>
                          </w:numPr>
                          <w:shd w:val="clear" w:color="auto" w:fill="auto"/>
                          <w:kinsoku w:val="0"/>
                          <w:overflowPunct w:val="0"/>
                          <w:ind w:right="0" w:rightChars="0"/>
                          <w:jc w:val="center"/>
                          <w:rPr>
                            <w:rFonts w:hint="eastAsia" w:ascii="仿宋" w:hAnsi="仿宋" w:eastAsia="仿宋" w:cs="仿宋"/>
                            <w:sz w:val="24"/>
                            <w:szCs w:val="24"/>
                          </w:rPr>
                        </w:pPr>
                        <w:r>
                          <w:rPr>
                            <w:rFonts w:hint="eastAsia" w:ascii="仿宋" w:hAnsi="仿宋" w:eastAsia="仿宋" w:cs="仿宋"/>
                            <w:b/>
                            <w:bCs/>
                            <w:sz w:val="24"/>
                            <w:szCs w:val="24"/>
                          </w:rPr>
                          <w:t>授权人身份证复印件（反面）</w:t>
                        </w:r>
                      </w:p>
                    </w:txbxContent>
                  </v:textbox>
                </v:shape>
                <w10:wrap type="none"/>
                <w10:anchorlock/>
              </v:group>
            </w:pict>
          </mc:Fallback>
        </mc:AlternateContent>
      </w:r>
    </w:p>
    <w:p w14:paraId="777480AF">
      <w:pPr>
        <w:pStyle w:val="7"/>
        <w:numPr>
          <w:ilvl w:val="0"/>
          <w:numId w:val="0"/>
        </w:numPr>
        <w:kinsoku w:val="0"/>
        <w:overflowPunct w:val="0"/>
        <w:adjustRightInd w:val="0"/>
        <w:snapToGrid w:val="0"/>
        <w:spacing w:line="200" w:lineRule="atLeast"/>
        <w:ind w:right="0" w:rightChars="0"/>
        <w:rPr>
          <w:rFonts w:hint="eastAsia" w:ascii="仿宋" w:hAnsi="仿宋" w:eastAsia="仿宋" w:cs="仿宋"/>
          <w:color w:val="auto"/>
          <w:sz w:val="28"/>
          <w:szCs w:val="28"/>
        </w:rPr>
      </w:pPr>
      <w:r>
        <w:rPr>
          <w:rFonts w:hint="eastAsia" w:ascii="仿宋" w:hAnsi="仿宋" w:eastAsia="仿宋" w:cs="仿宋"/>
          <w:color w:val="auto"/>
          <w:sz w:val="28"/>
          <w:szCs w:val="28"/>
        </w:rPr>
        <mc:AlternateContent>
          <mc:Choice Requires="wpg">
            <w:drawing>
              <wp:inline distT="0" distB="0" distL="114300" distR="114300">
                <wp:extent cx="5137150" cy="1384935"/>
                <wp:effectExtent l="635" t="635" r="5715" b="5080"/>
                <wp:docPr id="36" name="组合 36"/>
                <wp:cNvGraphicFramePr/>
                <a:graphic xmlns:a="http://schemas.openxmlformats.org/drawingml/2006/main">
                  <a:graphicData uri="http://schemas.microsoft.com/office/word/2010/wordprocessingGroup">
                    <wpg:wgp>
                      <wpg:cNvGrpSpPr>
                        <a:grpSpLocks noRot="1"/>
                      </wpg:cNvGrpSpPr>
                      <wpg:grpSpPr>
                        <a:xfrm>
                          <a:off x="0" y="0"/>
                          <a:ext cx="5137150" cy="1384935"/>
                          <a:chOff x="0" y="0"/>
                          <a:chExt cx="8089" cy="2181"/>
                        </a:xfrm>
                        <a:effectLst/>
                      </wpg:grpSpPr>
                      <wps:wsp>
                        <wps:cNvPr id="37" name="任意多边形 34"/>
                        <wps:cNvSpPr/>
                        <wps:spPr>
                          <a:xfrm>
                            <a:off x="4" y="9"/>
                            <a:ext cx="8079" cy="20"/>
                          </a:xfrm>
                          <a:custGeom>
                            <a:avLst/>
                            <a:gdLst/>
                            <a:ahLst/>
                            <a:cxnLst/>
                            <a:pathLst>
                              <a:path w="8079" h="20">
                                <a:moveTo>
                                  <a:pt x="0" y="0"/>
                                </a:moveTo>
                                <a:lnTo>
                                  <a:pt x="8078" y="0"/>
                                </a:lnTo>
                              </a:path>
                            </a:pathLst>
                          </a:custGeom>
                          <a:noFill/>
                          <a:ln w="6096" cap="flat" cmpd="sng">
                            <a:solidFill>
                              <a:srgbClr val="000000"/>
                            </a:solidFill>
                            <a:prstDash val="solid"/>
                            <a:headEnd type="none" w="med" len="med"/>
                            <a:tailEnd type="none" w="med" len="med"/>
                          </a:ln>
                          <a:effectLst/>
                        </wps:spPr>
                        <wps:bodyPr upright="1"/>
                      </wps:wsp>
                      <wps:wsp>
                        <wps:cNvPr id="38" name="任意多边形 35"/>
                        <wps:cNvSpPr/>
                        <wps:spPr>
                          <a:xfrm>
                            <a:off x="24" y="28"/>
                            <a:ext cx="8041" cy="20"/>
                          </a:xfrm>
                          <a:custGeom>
                            <a:avLst/>
                            <a:gdLst/>
                            <a:ahLst/>
                            <a:cxnLst/>
                            <a:pathLst>
                              <a:path w="8041" h="20">
                                <a:moveTo>
                                  <a:pt x="0" y="0"/>
                                </a:moveTo>
                                <a:lnTo>
                                  <a:pt x="8040" y="0"/>
                                </a:lnTo>
                              </a:path>
                            </a:pathLst>
                          </a:custGeom>
                          <a:noFill/>
                          <a:ln w="6096" cap="flat" cmpd="sng">
                            <a:solidFill>
                              <a:srgbClr val="000000"/>
                            </a:solidFill>
                            <a:prstDash val="solid"/>
                            <a:headEnd type="none" w="med" len="med"/>
                            <a:tailEnd type="none" w="med" len="med"/>
                          </a:ln>
                          <a:effectLst/>
                        </wps:spPr>
                        <wps:bodyPr upright="1"/>
                      </wps:wsp>
                      <wps:wsp>
                        <wps:cNvPr id="39" name="任意多边形 36"/>
                        <wps:cNvSpPr/>
                        <wps:spPr>
                          <a:xfrm>
                            <a:off x="24" y="2151"/>
                            <a:ext cx="8041" cy="20"/>
                          </a:xfrm>
                          <a:custGeom>
                            <a:avLst/>
                            <a:gdLst/>
                            <a:ahLst/>
                            <a:cxnLst/>
                            <a:pathLst>
                              <a:path w="8041" h="20">
                                <a:moveTo>
                                  <a:pt x="0" y="0"/>
                                </a:moveTo>
                                <a:lnTo>
                                  <a:pt x="8040" y="0"/>
                                </a:lnTo>
                              </a:path>
                            </a:pathLst>
                          </a:custGeom>
                          <a:noFill/>
                          <a:ln w="6096" cap="flat" cmpd="sng">
                            <a:solidFill>
                              <a:srgbClr val="000000"/>
                            </a:solidFill>
                            <a:prstDash val="solid"/>
                            <a:headEnd type="none" w="med" len="med"/>
                            <a:tailEnd type="none" w="med" len="med"/>
                          </a:ln>
                          <a:effectLst/>
                        </wps:spPr>
                        <wps:bodyPr upright="1"/>
                      </wps:wsp>
                      <wps:wsp>
                        <wps:cNvPr id="40" name="任意多边形 37"/>
                        <wps:cNvSpPr/>
                        <wps:spPr>
                          <a:xfrm>
                            <a:off x="4" y="2170"/>
                            <a:ext cx="8079" cy="20"/>
                          </a:xfrm>
                          <a:custGeom>
                            <a:avLst/>
                            <a:gdLst/>
                            <a:ahLst/>
                            <a:cxnLst/>
                            <a:pathLst>
                              <a:path w="8079" h="20">
                                <a:moveTo>
                                  <a:pt x="0" y="0"/>
                                </a:moveTo>
                                <a:lnTo>
                                  <a:pt x="8078" y="0"/>
                                </a:lnTo>
                              </a:path>
                            </a:pathLst>
                          </a:custGeom>
                          <a:noFill/>
                          <a:ln w="6096" cap="flat" cmpd="sng">
                            <a:solidFill>
                              <a:srgbClr val="000000"/>
                            </a:solidFill>
                            <a:prstDash val="solid"/>
                            <a:headEnd type="none" w="med" len="med"/>
                            <a:tailEnd type="none" w="med" len="med"/>
                          </a:ln>
                          <a:effectLst/>
                        </wps:spPr>
                        <wps:bodyPr upright="1"/>
                      </wps:wsp>
                      <wps:wsp>
                        <wps:cNvPr id="41" name="任意多边形 38"/>
                        <wps:cNvSpPr/>
                        <wps:spPr>
                          <a:xfrm>
                            <a:off x="9" y="4"/>
                            <a:ext cx="20" cy="2171"/>
                          </a:xfrm>
                          <a:custGeom>
                            <a:avLst/>
                            <a:gdLst/>
                            <a:ahLst/>
                            <a:cxnLst/>
                            <a:pathLst>
                              <a:path w="20" h="2171">
                                <a:moveTo>
                                  <a:pt x="0" y="0"/>
                                </a:moveTo>
                                <a:lnTo>
                                  <a:pt x="0" y="2170"/>
                                </a:lnTo>
                              </a:path>
                            </a:pathLst>
                          </a:custGeom>
                          <a:noFill/>
                          <a:ln w="6096" cap="flat" cmpd="sng">
                            <a:solidFill>
                              <a:srgbClr val="000000"/>
                            </a:solidFill>
                            <a:prstDash val="solid"/>
                            <a:headEnd type="none" w="med" len="med"/>
                            <a:tailEnd type="none" w="med" len="med"/>
                          </a:ln>
                          <a:effectLst/>
                        </wps:spPr>
                        <wps:bodyPr upright="1"/>
                      </wps:wsp>
                      <wps:wsp>
                        <wps:cNvPr id="42" name="任意多边形 39"/>
                        <wps:cNvSpPr/>
                        <wps:spPr>
                          <a:xfrm>
                            <a:off x="28" y="24"/>
                            <a:ext cx="20" cy="2133"/>
                          </a:xfrm>
                          <a:custGeom>
                            <a:avLst/>
                            <a:gdLst/>
                            <a:ahLst/>
                            <a:cxnLst/>
                            <a:pathLst>
                              <a:path w="20" h="2133">
                                <a:moveTo>
                                  <a:pt x="0" y="0"/>
                                </a:moveTo>
                                <a:lnTo>
                                  <a:pt x="0" y="2132"/>
                                </a:lnTo>
                              </a:path>
                            </a:pathLst>
                          </a:custGeom>
                          <a:noFill/>
                          <a:ln w="6096" cap="flat" cmpd="sng">
                            <a:solidFill>
                              <a:srgbClr val="000000"/>
                            </a:solidFill>
                            <a:prstDash val="solid"/>
                            <a:headEnd type="none" w="med" len="med"/>
                            <a:tailEnd type="none" w="med" len="med"/>
                          </a:ln>
                          <a:effectLst/>
                        </wps:spPr>
                        <wps:bodyPr upright="1"/>
                      </wps:wsp>
                      <wps:wsp>
                        <wps:cNvPr id="43" name="任意多边形 40"/>
                        <wps:cNvSpPr/>
                        <wps:spPr>
                          <a:xfrm>
                            <a:off x="4034" y="24"/>
                            <a:ext cx="20" cy="2123"/>
                          </a:xfrm>
                          <a:custGeom>
                            <a:avLst/>
                            <a:gdLst/>
                            <a:ahLst/>
                            <a:cxnLst/>
                            <a:pathLst>
                              <a:path w="20" h="2123">
                                <a:moveTo>
                                  <a:pt x="0" y="0"/>
                                </a:moveTo>
                                <a:lnTo>
                                  <a:pt x="0" y="2122"/>
                                </a:lnTo>
                              </a:path>
                            </a:pathLst>
                          </a:custGeom>
                          <a:noFill/>
                          <a:ln w="6096" cap="flat" cmpd="sng">
                            <a:solidFill>
                              <a:srgbClr val="000000"/>
                            </a:solidFill>
                            <a:prstDash val="solid"/>
                            <a:headEnd type="none" w="med" len="med"/>
                            <a:tailEnd type="none" w="med" len="med"/>
                          </a:ln>
                          <a:effectLst/>
                        </wps:spPr>
                        <wps:bodyPr upright="1"/>
                      </wps:wsp>
                      <wps:wsp>
                        <wps:cNvPr id="44" name="任意多边形 41"/>
                        <wps:cNvSpPr/>
                        <wps:spPr>
                          <a:xfrm>
                            <a:off x="4053" y="24"/>
                            <a:ext cx="20" cy="2123"/>
                          </a:xfrm>
                          <a:custGeom>
                            <a:avLst/>
                            <a:gdLst/>
                            <a:ahLst/>
                            <a:cxnLst/>
                            <a:pathLst>
                              <a:path w="20" h="2123">
                                <a:moveTo>
                                  <a:pt x="0" y="0"/>
                                </a:moveTo>
                                <a:lnTo>
                                  <a:pt x="0" y="2122"/>
                                </a:lnTo>
                              </a:path>
                            </a:pathLst>
                          </a:custGeom>
                          <a:noFill/>
                          <a:ln w="6096" cap="flat" cmpd="sng">
                            <a:solidFill>
                              <a:srgbClr val="000000"/>
                            </a:solidFill>
                            <a:prstDash val="solid"/>
                            <a:headEnd type="none" w="med" len="med"/>
                            <a:tailEnd type="none" w="med" len="med"/>
                          </a:ln>
                          <a:effectLst/>
                        </wps:spPr>
                        <wps:bodyPr upright="1"/>
                      </wps:wsp>
                      <wps:wsp>
                        <wps:cNvPr id="45" name="任意多边形 42"/>
                        <wps:cNvSpPr/>
                        <wps:spPr>
                          <a:xfrm>
                            <a:off x="8059" y="33"/>
                            <a:ext cx="20" cy="2123"/>
                          </a:xfrm>
                          <a:custGeom>
                            <a:avLst/>
                            <a:gdLst/>
                            <a:ahLst/>
                            <a:cxnLst/>
                            <a:pathLst>
                              <a:path w="20" h="2123">
                                <a:moveTo>
                                  <a:pt x="0" y="0"/>
                                </a:moveTo>
                                <a:lnTo>
                                  <a:pt x="0" y="2122"/>
                                </a:lnTo>
                              </a:path>
                            </a:pathLst>
                          </a:custGeom>
                          <a:noFill/>
                          <a:ln w="6096" cap="flat" cmpd="sng">
                            <a:solidFill>
                              <a:srgbClr val="000000"/>
                            </a:solidFill>
                            <a:prstDash val="solid"/>
                            <a:headEnd type="none" w="med" len="med"/>
                            <a:tailEnd type="none" w="med" len="med"/>
                          </a:ln>
                          <a:effectLst/>
                        </wps:spPr>
                        <wps:bodyPr upright="1"/>
                      </wps:wsp>
                      <wps:wsp>
                        <wps:cNvPr id="46" name="任意多边形 43"/>
                        <wps:cNvSpPr/>
                        <wps:spPr>
                          <a:xfrm>
                            <a:off x="8078" y="14"/>
                            <a:ext cx="20" cy="2162"/>
                          </a:xfrm>
                          <a:custGeom>
                            <a:avLst/>
                            <a:gdLst/>
                            <a:ahLst/>
                            <a:cxnLst/>
                            <a:pathLst>
                              <a:path w="20" h="2162">
                                <a:moveTo>
                                  <a:pt x="0" y="0"/>
                                </a:moveTo>
                                <a:lnTo>
                                  <a:pt x="0" y="2161"/>
                                </a:lnTo>
                              </a:path>
                            </a:pathLst>
                          </a:custGeom>
                          <a:noFill/>
                          <a:ln w="6096" cap="flat" cmpd="sng">
                            <a:solidFill>
                              <a:srgbClr val="000000"/>
                            </a:solidFill>
                            <a:prstDash val="solid"/>
                            <a:headEnd type="none" w="med" len="med"/>
                            <a:tailEnd type="none" w="med" len="med"/>
                          </a:ln>
                          <a:effectLst/>
                        </wps:spPr>
                        <wps:bodyPr upright="1"/>
                      </wps:wsp>
                      <wps:wsp>
                        <wps:cNvPr id="47" name="文本框 44"/>
                        <wps:cNvSpPr txBox="1"/>
                        <wps:spPr>
                          <a:xfrm>
                            <a:off x="19" y="19"/>
                            <a:ext cx="4025" cy="2142"/>
                          </a:xfrm>
                          <a:prstGeom prst="rect">
                            <a:avLst/>
                          </a:prstGeom>
                          <a:noFill/>
                          <a:ln w="25400" cap="flat" cmpd="sng" algn="ctr">
                            <a:solidFill>
                              <a:srgbClr val="000000"/>
                            </a:solidFill>
                            <a:prstDash val="solid"/>
                          </a:ln>
                          <a:effectLst/>
                        </wps:spPr>
                        <wps:txbx>
                          <w:txbxContent>
                            <w:p w14:paraId="494C11DB">
                              <w:pPr>
                                <w:pStyle w:val="7"/>
                                <w:numPr>
                                  <w:ilvl w:val="0"/>
                                  <w:numId w:val="0"/>
                                </w:numPr>
                                <w:kinsoku w:val="0"/>
                                <w:overflowPunct w:val="0"/>
                                <w:ind w:right="0" w:rightChars="0"/>
                                <w:rPr>
                                  <w:rFonts w:hint="eastAsia"/>
                                </w:rPr>
                              </w:pPr>
                            </w:p>
                            <w:p w14:paraId="5C5D0584">
                              <w:pPr>
                                <w:pStyle w:val="7"/>
                                <w:numPr>
                                  <w:ilvl w:val="0"/>
                                  <w:numId w:val="0"/>
                                </w:numPr>
                                <w:shd w:val="clear" w:color="auto" w:fill="auto"/>
                                <w:kinsoku w:val="0"/>
                                <w:overflowPunct w:val="0"/>
                                <w:ind w:right="0" w:rightChars="0"/>
                                <w:jc w:val="center"/>
                                <w:rPr>
                                  <w:rFonts w:hint="eastAsia" w:ascii="仿宋" w:hAnsi="仿宋" w:eastAsia="仿宋" w:cs="仿宋"/>
                                  <w:sz w:val="24"/>
                                  <w:szCs w:val="24"/>
                                </w:rPr>
                              </w:pPr>
                            </w:p>
                            <w:p w14:paraId="094C5D3B">
                              <w:pPr>
                                <w:pStyle w:val="7"/>
                                <w:numPr>
                                  <w:ilvl w:val="0"/>
                                  <w:numId w:val="0"/>
                                </w:numPr>
                                <w:shd w:val="clear" w:color="auto" w:fill="auto"/>
                                <w:kinsoku w:val="0"/>
                                <w:overflowPunct w:val="0"/>
                                <w:ind w:right="0" w:rightChars="0"/>
                                <w:jc w:val="center"/>
                                <w:rPr>
                                  <w:b/>
                                  <w:bCs/>
                                </w:rPr>
                              </w:pPr>
                              <w:r>
                                <w:rPr>
                                  <w:rFonts w:hint="eastAsia" w:ascii="仿宋" w:hAnsi="仿宋" w:eastAsia="仿宋" w:cs="仿宋"/>
                                  <w:b/>
                                  <w:bCs/>
                                  <w:sz w:val="24"/>
                                  <w:szCs w:val="24"/>
                                </w:rPr>
                                <w:t>被授权代表身份证复印件（正面）</w:t>
                              </w:r>
                            </w:p>
                          </w:txbxContent>
                        </wps:txbx>
                        <wps:bodyPr lIns="0" tIns="0" rIns="0" bIns="0" upright="1"/>
                      </wps:wsp>
                      <wps:wsp>
                        <wps:cNvPr id="48" name="文本框 45"/>
                        <wps:cNvSpPr txBox="1"/>
                        <wps:spPr>
                          <a:xfrm>
                            <a:off x="4044" y="19"/>
                            <a:ext cx="4025" cy="2142"/>
                          </a:xfrm>
                          <a:prstGeom prst="rect">
                            <a:avLst/>
                          </a:prstGeom>
                          <a:noFill/>
                          <a:ln w="25400" cap="flat" cmpd="sng" algn="ctr">
                            <a:solidFill>
                              <a:srgbClr val="000000"/>
                            </a:solidFill>
                            <a:prstDash val="solid"/>
                          </a:ln>
                          <a:effectLst/>
                        </wps:spPr>
                        <wps:txbx>
                          <w:txbxContent>
                            <w:p w14:paraId="7CDAC1EF">
                              <w:pPr>
                                <w:pStyle w:val="7"/>
                                <w:numPr>
                                  <w:ilvl w:val="0"/>
                                  <w:numId w:val="0"/>
                                </w:numPr>
                                <w:kinsoku w:val="0"/>
                                <w:overflowPunct w:val="0"/>
                                <w:ind w:right="0" w:rightChars="0"/>
                                <w:rPr>
                                  <w:rFonts w:hint="eastAsia"/>
                                </w:rPr>
                              </w:pPr>
                            </w:p>
                            <w:p w14:paraId="7A5C1169">
                              <w:pPr>
                                <w:pStyle w:val="7"/>
                                <w:numPr>
                                  <w:ilvl w:val="0"/>
                                  <w:numId w:val="0"/>
                                </w:numPr>
                                <w:shd w:val="clear" w:color="auto" w:fill="auto"/>
                                <w:kinsoku w:val="0"/>
                                <w:overflowPunct w:val="0"/>
                                <w:ind w:right="0" w:rightChars="0"/>
                                <w:rPr>
                                  <w:rFonts w:hint="eastAsia" w:ascii="仿宋" w:hAnsi="仿宋" w:eastAsia="仿宋" w:cs="仿宋"/>
                                  <w:sz w:val="24"/>
                                  <w:szCs w:val="24"/>
                                </w:rPr>
                              </w:pPr>
                            </w:p>
                            <w:p w14:paraId="1767C33D">
                              <w:pPr>
                                <w:pStyle w:val="7"/>
                                <w:numPr>
                                  <w:ilvl w:val="0"/>
                                  <w:numId w:val="0"/>
                                </w:numPr>
                                <w:shd w:val="clear" w:color="auto" w:fill="auto"/>
                                <w:kinsoku w:val="0"/>
                                <w:overflowPunct w:val="0"/>
                                <w:ind w:right="0" w:rightChars="0" w:firstLine="241" w:firstLineChars="100"/>
                                <w:rPr>
                                  <w:b/>
                                  <w:bCs/>
                                </w:rPr>
                              </w:pPr>
                              <w:r>
                                <w:rPr>
                                  <w:rFonts w:hint="eastAsia" w:ascii="仿宋" w:hAnsi="仿宋" w:eastAsia="仿宋" w:cs="仿宋"/>
                                  <w:b/>
                                  <w:bCs/>
                                  <w:sz w:val="24"/>
                                  <w:szCs w:val="24"/>
                                </w:rPr>
                                <w:t>被授权代表身份证复印件（反面）</w:t>
                              </w:r>
                            </w:p>
                          </w:txbxContent>
                        </wps:txbx>
                        <wps:bodyPr lIns="0" tIns="0" rIns="0" bIns="0" upright="1"/>
                      </wps:wsp>
                    </wpg:wgp>
                  </a:graphicData>
                </a:graphic>
              </wp:inline>
            </w:drawing>
          </mc:Choice>
          <mc:Fallback>
            <w:pict>
              <v:group id="_x0000_s1026" o:spid="_x0000_s1026" o:spt="203" style="height:109.05pt;width:404.5pt;" coordsize="8089,2181" o:gfxdata="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">
                <o:lock v:ext="edit" rotation="t" aspectratio="f"/>
                <v:shape id="任意多边形 34" o:spid="_x0000_s1026" o:spt="100" style="position:absolute;left:4;top:9;height:20;width:8079;" filled="f" stroked="t" coordsize="8079,20" o:gfxdata="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ebSvQAA&#10;ANsAAAAPAAAAAAAAAAEAIAAAACIAAABkcnMvZG93bnJldi54bWxQSwECFAAUAAAACACHTuJAMy8F&#10;njsAAAA5AAAAEAAAAAAAAAABACAAAAAMAQAAZHJzL3NoYXBleG1sLnhtbFBLBQYAAAAABgAGAFsB&#10;AAC2AwAAAAA=&#10;" path="m0,0l8078,0e">
                  <v:fill on="f" focussize="0,0"/>
                  <v:stroke weight="0.48pt" color="#000000" joinstyle="round"/>
                  <v:imagedata o:title=""/>
                  <o:lock v:ext="edit" aspectratio="f"/>
                </v:shape>
                <v:shape id="任意多边形 35" o:spid="_x0000_s1026" o:spt="100" style="position:absolute;left:24;top:28;height:20;width:8041;" filled="f" stroked="t" coordsize="8041,20" o:gfxdata="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mWAewugAAANsA&#10;AAAPAAAAAAAAAAEAIAAAACIAAABkcnMvZG93bnJldi54bWxQSwECFAAUAAAACACHTuJAMy8FnjsA&#10;AAA5AAAAEAAAAAAAAAABACAAAAAJAQAAZHJzL3NoYXBleG1sLnhtbFBLBQYAAAAABgAGAFsBAACz&#10;AwAAAAA=&#10;" path="m0,0l8040,0e">
                  <v:fill on="f" focussize="0,0"/>
                  <v:stroke weight="0.48pt" color="#000000" joinstyle="round"/>
                  <v:imagedata o:title=""/>
                  <o:lock v:ext="edit" aspectratio="f"/>
                </v:shape>
                <v:shape id="任意多边形 36" o:spid="_x0000_s1026" o:spt="100" style="position:absolute;left:24;top:2151;height:20;width:8041;" filled="f" stroked="t" coordsize="8041,20" o:gfxdata="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FKIrvQAA&#10;ANsAAAAPAAAAAAAAAAEAIAAAACIAAABkcnMvZG93bnJldi54bWxQSwECFAAUAAAACACHTuJAMy8F&#10;njsAAAA5AAAAEAAAAAAAAAABACAAAAAMAQAAZHJzL3NoYXBleG1sLnhtbFBLBQYAAAAABgAGAFsB&#10;AAC2AwAAAAA=&#10;" path="m0,0l8040,0e">
                  <v:fill on="f" focussize="0,0"/>
                  <v:stroke weight="0.48pt" color="#000000" joinstyle="round"/>
                  <v:imagedata o:title=""/>
                  <o:lock v:ext="edit" aspectratio="f"/>
                </v:shape>
                <v:shape id="任意多边形 37" o:spid="_x0000_s1026" o:spt="100" style="position:absolute;left:4;top:2170;height:20;width:8079;" filled="f" stroked="t" coordsize="8079,20" o:gfxdata="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YWDdu5AAAA2wAA&#10;AA8AAAAAAAAAAQAgAAAAIgAAAGRycy9kb3ducmV2LnhtbFBLAQIUABQAAAAIAIdO4kAzLwWeOwAA&#10;ADkAAAAQAAAAAAAAAAEAIAAAAAgBAABkcnMvc2hhcGV4bWwueG1sUEsFBgAAAAAGAAYAWwEAALID&#10;AAAAAA==&#10;" path="m0,0l8078,0e">
                  <v:fill on="f" focussize="0,0"/>
                  <v:stroke weight="0.48pt" color="#000000" joinstyle="round"/>
                  <v:imagedata o:title=""/>
                  <o:lock v:ext="edit" aspectratio="f"/>
                </v:shape>
                <v:shape id="任意多边形 38" o:spid="_x0000_s1026" o:spt="100" style="position:absolute;left:9;top:4;height:2171;width:20;" filled="f" stroked="t" coordsize="20,2171" o:gfxdata="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GrYT7sAAADb&#10;AAAADwAAAAAAAAABACAAAAAiAAAAZHJzL2Rvd25yZXYueG1sUEsBAhQAFAAAAAgAh07iQDMvBZ47&#10;AAAAOQAAABAAAAAAAAAAAQAgAAAACgEAAGRycy9zaGFwZXhtbC54bWxQSwUGAAAAAAYABgBbAQAA&#10;tAMAAAAA&#10;" path="m0,0l0,2170e">
                  <v:fill on="f" focussize="0,0"/>
                  <v:stroke weight="0.48pt" color="#000000" joinstyle="round"/>
                  <v:imagedata o:title=""/>
                  <o:lock v:ext="edit" aspectratio="f"/>
                </v:shape>
                <v:shape id="任意多边形 39" o:spid="_x0000_s1026" o:spt="100" style="position:absolute;left:28;top:24;height:2133;width:20;" filled="f" stroked="t" coordsize="20,2133" o:gfxdata="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3Uk7y/&#10;AAAA2wAAAA8AAAAAAAAAAQAgAAAAIgAAAGRycy9kb3ducmV2LnhtbFBLAQIUABQAAAAIAIdO4kAz&#10;LwWeOwAAADkAAAAQAAAAAAAAAAEAIAAAAA4BAABkcnMvc2hhcGV4bWwueG1sUEsFBgAAAAAGAAYA&#10;WwEAALgDAAAAAA==&#10;" path="m0,0l0,2132e">
                  <v:fill on="f" focussize="0,0"/>
                  <v:stroke weight="0.48pt" color="#000000" joinstyle="round"/>
                  <v:imagedata o:title=""/>
                  <o:lock v:ext="edit" aspectratio="f"/>
                </v:shape>
                <v:shape id="任意多边形 40" o:spid="_x0000_s1026" o:spt="100" style="position:absolute;left:4034;top:24;height:2123;width:20;" filled="f" stroked="t" coordsize="20,2123" o:gfxdata="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Y1HbS8AAAA&#10;2wAAAA8AAAAAAAAAAQAgAAAAIgAAAGRycy9kb3ducmV2LnhtbFBLAQIUABQAAAAIAIdO4kAzLwWe&#10;OwAAADkAAAAQAAAAAAAAAAEAIAAAAAsBAABkcnMvc2hhcGV4bWwueG1sUEsFBgAAAAAGAAYAWwEA&#10;ALUDAAAAAA==&#10;" path="m0,0l0,2122e">
                  <v:fill on="f" focussize="0,0"/>
                  <v:stroke weight="0.48pt" color="#000000" joinstyle="round"/>
                  <v:imagedata o:title=""/>
                  <o:lock v:ext="edit" aspectratio="f"/>
                </v:shape>
                <v:shape id="任意多边形 41" o:spid="_x0000_s1026" o:spt="100" style="position:absolute;left:4053;top:24;height:2123;width:20;" filled="f" stroked="t" coordsize="20,2123" o:gfxdata="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nchcC8AAAA&#10;2wAAAA8AAAAAAAAAAQAgAAAAIgAAAGRycy9kb3ducmV2LnhtbFBLAQIUABQAAAAIAIdO4kAzLwWe&#10;OwAAADkAAAAQAAAAAAAAAAEAIAAAAAsBAABkcnMvc2hhcGV4bWwueG1sUEsFBgAAAAAGAAYAWwEA&#10;ALUDAAAAAA==&#10;" path="m0,0l0,2122e">
                  <v:fill on="f" focussize="0,0"/>
                  <v:stroke weight="0.48pt" color="#000000" joinstyle="round"/>
                  <v:imagedata o:title=""/>
                  <o:lock v:ext="edit" aspectratio="f"/>
                </v:shape>
                <v:shape id="任意多边形 42" o:spid="_x0000_s1026" o:spt="100" style="position:absolute;left:8059;top:33;height:2123;width:20;" filled="f" stroked="t" coordsize="20,2123" o:gfxdata="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aQIFu8AAAA&#10;2wAAAA8AAAAAAAAAAQAgAAAAIgAAAGRycy9kb3ducmV2LnhtbFBLAQIUABQAAAAIAIdO4kAzLwWe&#10;OwAAADkAAAAQAAAAAAAAAAEAIAAAAAsBAABkcnMvc2hhcGV4bWwueG1sUEsFBgAAAAAGAAYAWwEA&#10;ALUDAAAAAA==&#10;" path="m0,0l0,2122e">
                  <v:fill on="f" focussize="0,0"/>
                  <v:stroke weight="0.48pt" color="#000000" joinstyle="round"/>
                  <v:imagedata o:title=""/>
                  <o:lock v:ext="edit" aspectratio="f"/>
                </v:shape>
                <v:shape id="任意多边形 43" o:spid="_x0000_s1026" o:spt="100" style="position:absolute;left:8078;top:14;height:2162;width:20;" filled="f" stroked="t" coordsize="20,2162" o:gfxdata="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2cm0ztwAAANsAAAAP&#10;AAAAAAAAAAEAIAAAACIAAABkcnMvZG93bnJldi54bWxQSwECFAAUAAAACACHTuJAMy8FnjsAAAA5&#10;AAAAEAAAAAAAAAABACAAAAAGAQAAZHJzL3NoYXBleG1sLnhtbFBLBQYAAAAABgAGAFsBAACwAwAA&#10;AAA=&#10;" path="m0,0l0,2161e">
                  <v:fill on="f" focussize="0,0"/>
                  <v:stroke weight="0.48pt" color="#000000" joinstyle="round"/>
                  <v:imagedata o:title=""/>
                  <o:lock v:ext="edit" aspectratio="f"/>
                </v:shape>
                <v:shape id="文本框 44" o:spid="_x0000_s1026" o:spt="202" type="#_x0000_t202" style="position:absolute;left:19;top:19;height:2142;width:4025;" filled="f" stroked="t" coordsize="21600,21600" o:gfxdata="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TXfe+8AAAA&#10;2wAAAA8AAAAAAAAAAQAgAAAAIgAAAGRycy9kb3ducmV2LnhtbFBLAQIUABQAAAAIAIdO4kAzLwWe&#10;OwAAADkAAAAQAAAAAAAAAAEAIAAAAAsBAABkcnMvc2hhcGV4bWwueG1sUEsFBgAAAAAGAAYAWwEA&#10;ALUDAAAAAA==&#10;">
                  <v:fill on="f" focussize="0,0"/>
                  <v:stroke weight="2pt" color="#000000" joinstyle="round"/>
                  <v:imagedata o:title=""/>
                  <o:lock v:ext="edit" aspectratio="f"/>
                  <v:textbox inset="0mm,0mm,0mm,0mm">
                    <w:txbxContent>
                      <w:p w14:paraId="494C11DB">
                        <w:pPr>
                          <w:pStyle w:val="7"/>
                          <w:numPr>
                            <w:ilvl w:val="0"/>
                            <w:numId w:val="0"/>
                          </w:numPr>
                          <w:kinsoku w:val="0"/>
                          <w:overflowPunct w:val="0"/>
                          <w:ind w:right="0" w:rightChars="0"/>
                          <w:rPr>
                            <w:rFonts w:hint="eastAsia"/>
                          </w:rPr>
                        </w:pPr>
                      </w:p>
                      <w:p w14:paraId="5C5D0584">
                        <w:pPr>
                          <w:pStyle w:val="7"/>
                          <w:numPr>
                            <w:ilvl w:val="0"/>
                            <w:numId w:val="0"/>
                          </w:numPr>
                          <w:shd w:val="clear" w:color="auto" w:fill="auto"/>
                          <w:kinsoku w:val="0"/>
                          <w:overflowPunct w:val="0"/>
                          <w:ind w:right="0" w:rightChars="0"/>
                          <w:jc w:val="center"/>
                          <w:rPr>
                            <w:rFonts w:hint="eastAsia" w:ascii="仿宋" w:hAnsi="仿宋" w:eastAsia="仿宋" w:cs="仿宋"/>
                            <w:sz w:val="24"/>
                            <w:szCs w:val="24"/>
                          </w:rPr>
                        </w:pPr>
                      </w:p>
                      <w:p w14:paraId="094C5D3B">
                        <w:pPr>
                          <w:pStyle w:val="7"/>
                          <w:numPr>
                            <w:ilvl w:val="0"/>
                            <w:numId w:val="0"/>
                          </w:numPr>
                          <w:shd w:val="clear" w:color="auto" w:fill="auto"/>
                          <w:kinsoku w:val="0"/>
                          <w:overflowPunct w:val="0"/>
                          <w:ind w:right="0" w:rightChars="0"/>
                          <w:jc w:val="center"/>
                          <w:rPr>
                            <w:b/>
                            <w:bCs/>
                          </w:rPr>
                        </w:pPr>
                        <w:r>
                          <w:rPr>
                            <w:rFonts w:hint="eastAsia" w:ascii="仿宋" w:hAnsi="仿宋" w:eastAsia="仿宋" w:cs="仿宋"/>
                            <w:b/>
                            <w:bCs/>
                            <w:sz w:val="24"/>
                            <w:szCs w:val="24"/>
                          </w:rPr>
                          <w:t>被授权代表身份证复印件（正面）</w:t>
                        </w:r>
                      </w:p>
                    </w:txbxContent>
                  </v:textbox>
                </v:shape>
                <v:shape id="文本框 45" o:spid="_x0000_s1026" o:spt="202" type="#_x0000_t202" style="position:absolute;left:4044;top:19;height:2142;width:4025;" filled="f" stroked="t" coordsize="21600,21600" o:gfxdata="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SOmdugAAANsA&#10;AAAPAAAAAAAAAAEAIAAAACIAAABkcnMvZG93bnJldi54bWxQSwECFAAUAAAACACHTuJAMy8FnjsA&#10;AAA5AAAAEAAAAAAAAAABACAAAAAJAQAAZHJzL3NoYXBleG1sLnhtbFBLBQYAAAAABgAGAFsBAACz&#10;AwAAAAA=&#10;">
                  <v:fill on="f" focussize="0,0"/>
                  <v:stroke weight="2pt" color="#000000" joinstyle="round"/>
                  <v:imagedata o:title=""/>
                  <o:lock v:ext="edit" aspectratio="f"/>
                  <v:textbox inset="0mm,0mm,0mm,0mm">
                    <w:txbxContent>
                      <w:p w14:paraId="7CDAC1EF">
                        <w:pPr>
                          <w:pStyle w:val="7"/>
                          <w:numPr>
                            <w:ilvl w:val="0"/>
                            <w:numId w:val="0"/>
                          </w:numPr>
                          <w:kinsoku w:val="0"/>
                          <w:overflowPunct w:val="0"/>
                          <w:ind w:right="0" w:rightChars="0"/>
                          <w:rPr>
                            <w:rFonts w:hint="eastAsia"/>
                          </w:rPr>
                        </w:pPr>
                      </w:p>
                      <w:p w14:paraId="7A5C1169">
                        <w:pPr>
                          <w:pStyle w:val="7"/>
                          <w:numPr>
                            <w:ilvl w:val="0"/>
                            <w:numId w:val="0"/>
                          </w:numPr>
                          <w:shd w:val="clear" w:color="auto" w:fill="auto"/>
                          <w:kinsoku w:val="0"/>
                          <w:overflowPunct w:val="0"/>
                          <w:ind w:right="0" w:rightChars="0"/>
                          <w:rPr>
                            <w:rFonts w:hint="eastAsia" w:ascii="仿宋" w:hAnsi="仿宋" w:eastAsia="仿宋" w:cs="仿宋"/>
                            <w:sz w:val="24"/>
                            <w:szCs w:val="24"/>
                          </w:rPr>
                        </w:pPr>
                      </w:p>
                      <w:p w14:paraId="1767C33D">
                        <w:pPr>
                          <w:pStyle w:val="7"/>
                          <w:numPr>
                            <w:ilvl w:val="0"/>
                            <w:numId w:val="0"/>
                          </w:numPr>
                          <w:shd w:val="clear" w:color="auto" w:fill="auto"/>
                          <w:kinsoku w:val="0"/>
                          <w:overflowPunct w:val="0"/>
                          <w:ind w:right="0" w:rightChars="0" w:firstLine="241" w:firstLineChars="100"/>
                          <w:rPr>
                            <w:b/>
                            <w:bCs/>
                          </w:rPr>
                        </w:pPr>
                        <w:r>
                          <w:rPr>
                            <w:rFonts w:hint="eastAsia" w:ascii="仿宋" w:hAnsi="仿宋" w:eastAsia="仿宋" w:cs="仿宋"/>
                            <w:b/>
                            <w:bCs/>
                            <w:sz w:val="24"/>
                            <w:szCs w:val="24"/>
                          </w:rPr>
                          <w:t>被授权代表身份证复印件（反面）</w:t>
                        </w:r>
                      </w:p>
                    </w:txbxContent>
                  </v:textbox>
                </v:shape>
                <w10:wrap type="none"/>
                <w10:anchorlock/>
              </v:group>
            </w:pict>
          </mc:Fallback>
        </mc:AlternateContent>
      </w:r>
    </w:p>
    <w:p w14:paraId="1AF5FE1B">
      <w:pPr>
        <w:pStyle w:val="7"/>
        <w:numPr>
          <w:ilvl w:val="0"/>
          <w:numId w:val="0"/>
        </w:numPr>
        <w:tabs>
          <w:tab w:val="left" w:pos="5295"/>
          <w:tab w:val="clear" w:pos="780"/>
        </w:tabs>
        <w:kinsoku w:val="0"/>
        <w:overflowPunct w:val="0"/>
        <w:adjustRightInd w:val="0"/>
        <w:snapToGrid w:val="0"/>
        <w:spacing w:line="360" w:lineRule="auto"/>
        <w:ind w:right="0" w:rightChars="0"/>
        <w:rPr>
          <w:rFonts w:hint="eastAsia" w:ascii="仿宋" w:hAnsi="仿宋" w:eastAsia="仿宋" w:cs="仿宋"/>
          <w:color w:val="auto"/>
          <w:sz w:val="28"/>
          <w:szCs w:val="28"/>
        </w:rPr>
      </w:pPr>
      <w:r>
        <w:rPr>
          <w:rFonts w:hint="eastAsia" w:ascii="仿宋" w:hAnsi="仿宋" w:eastAsia="仿宋" w:cs="仿宋"/>
          <w:color w:val="auto"/>
          <w:sz w:val="28"/>
          <w:szCs w:val="28"/>
        </w:rPr>
        <w:t>被授权代表（</w:t>
      </w:r>
      <w:r>
        <w:rPr>
          <w:rFonts w:hint="eastAsia" w:ascii="仿宋" w:hAnsi="仿宋" w:eastAsia="仿宋" w:cs="仿宋"/>
          <w:color w:val="auto"/>
          <w:sz w:val="28"/>
          <w:szCs w:val="28"/>
          <w:lang w:eastAsia="zh-CN"/>
        </w:rPr>
        <w:t>签字或盖章</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投标人法定代表人（</w:t>
      </w:r>
      <w:r>
        <w:rPr>
          <w:rFonts w:hint="eastAsia" w:ascii="仿宋" w:hAnsi="仿宋" w:eastAsia="仿宋" w:cs="仿宋"/>
          <w:color w:val="auto"/>
          <w:sz w:val="28"/>
          <w:szCs w:val="28"/>
          <w:lang w:eastAsia="zh-CN"/>
        </w:rPr>
        <w:t>签字或盖章</w:t>
      </w:r>
      <w:r>
        <w:rPr>
          <w:rFonts w:hint="eastAsia" w:ascii="仿宋" w:hAnsi="仿宋" w:eastAsia="仿宋" w:cs="仿宋"/>
          <w:color w:val="auto"/>
          <w:sz w:val="28"/>
          <w:szCs w:val="28"/>
        </w:rPr>
        <w:t>）：</w:t>
      </w:r>
    </w:p>
    <w:p w14:paraId="5518392F">
      <w:pPr>
        <w:pStyle w:val="7"/>
        <w:numPr>
          <w:ilvl w:val="0"/>
          <w:numId w:val="0"/>
        </w:numPr>
        <w:tabs>
          <w:tab w:val="left" w:pos="1098"/>
          <w:tab w:val="left" w:pos="5298"/>
          <w:tab w:val="left" w:pos="5778"/>
          <w:tab w:val="clear" w:pos="780"/>
        </w:tabs>
        <w:kinsoku w:val="0"/>
        <w:overflowPunct w:val="0"/>
        <w:adjustRightInd w:val="0"/>
        <w:snapToGrid w:val="0"/>
        <w:spacing w:line="360" w:lineRule="auto"/>
        <w:ind w:left="709" w:leftChars="0" w:right="0" w:rightChars="0"/>
        <w:rPr>
          <w:rFonts w:hint="eastAsia" w:ascii="仿宋" w:hAnsi="仿宋" w:eastAsia="仿宋" w:cs="仿宋"/>
          <w:color w:val="auto"/>
          <w:sz w:val="28"/>
          <w:szCs w:val="28"/>
        </w:rPr>
      </w:pPr>
      <w:r>
        <w:rPr>
          <w:rFonts w:hint="eastAsia" w:ascii="仿宋" w:hAnsi="仿宋" w:eastAsia="仿宋" w:cs="仿宋"/>
          <w:color w:val="auto"/>
          <w:sz w:val="28"/>
          <w:szCs w:val="28"/>
        </w:rPr>
        <w:t>职</w:t>
      </w:r>
      <w:r>
        <w:rPr>
          <w:rFonts w:hint="eastAsia" w:ascii="仿宋" w:hAnsi="仿宋" w:eastAsia="仿宋" w:cs="仿宋"/>
          <w:color w:val="auto"/>
          <w:sz w:val="28"/>
          <w:szCs w:val="28"/>
        </w:rPr>
        <w:tab/>
      </w:r>
      <w:r>
        <w:rPr>
          <w:rFonts w:hint="eastAsia" w:ascii="仿宋" w:hAnsi="仿宋" w:eastAsia="仿宋" w:cs="仿宋"/>
          <w:color w:val="auto"/>
          <w:sz w:val="28"/>
          <w:szCs w:val="28"/>
        </w:rPr>
        <w:t>务：</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职</w:t>
      </w:r>
      <w:r>
        <w:rPr>
          <w:rFonts w:hint="eastAsia" w:ascii="仿宋" w:hAnsi="仿宋" w:eastAsia="仿宋" w:cs="仿宋"/>
          <w:color w:val="auto"/>
          <w:sz w:val="28"/>
          <w:szCs w:val="28"/>
        </w:rPr>
        <w:tab/>
      </w:r>
      <w:r>
        <w:rPr>
          <w:rFonts w:hint="eastAsia" w:ascii="仿宋" w:hAnsi="仿宋" w:eastAsia="仿宋" w:cs="仿宋"/>
          <w:color w:val="auto"/>
          <w:sz w:val="28"/>
          <w:szCs w:val="28"/>
        </w:rPr>
        <w:t>务：</w:t>
      </w:r>
    </w:p>
    <w:p w14:paraId="23A98A8F">
      <w:pPr>
        <w:pStyle w:val="7"/>
        <w:numPr>
          <w:ilvl w:val="0"/>
          <w:numId w:val="0"/>
        </w:numPr>
        <w:tabs>
          <w:tab w:val="left" w:pos="1098"/>
          <w:tab w:val="left" w:pos="5298"/>
          <w:tab w:val="left" w:pos="5778"/>
          <w:tab w:val="clear" w:pos="780"/>
        </w:tabs>
        <w:kinsoku w:val="0"/>
        <w:overflowPunct w:val="0"/>
        <w:adjustRightInd w:val="0"/>
        <w:snapToGrid w:val="0"/>
        <w:spacing w:line="360" w:lineRule="auto"/>
        <w:ind w:left="709" w:leftChars="0" w:right="0" w:rightChars="0"/>
        <w:rPr>
          <w:rFonts w:hint="eastAsia" w:ascii="仿宋" w:hAnsi="仿宋" w:eastAsia="仿宋" w:cs="仿宋"/>
          <w:color w:val="auto"/>
          <w:sz w:val="28"/>
          <w:szCs w:val="28"/>
        </w:rPr>
      </w:pPr>
      <w:r>
        <w:rPr>
          <w:rFonts w:hint="eastAsia" w:ascii="仿宋" w:hAnsi="仿宋" w:eastAsia="仿宋" w:cs="仿宋"/>
          <w:color w:val="auto"/>
          <w:sz w:val="28"/>
          <w:szCs w:val="28"/>
        </w:rPr>
        <w:t>电</w:t>
      </w:r>
      <w:r>
        <w:rPr>
          <w:rFonts w:hint="eastAsia" w:ascii="仿宋" w:hAnsi="仿宋" w:eastAsia="仿宋" w:cs="仿宋"/>
          <w:color w:val="auto"/>
          <w:sz w:val="28"/>
          <w:szCs w:val="28"/>
        </w:rPr>
        <w:tab/>
      </w:r>
      <w:r>
        <w:rPr>
          <w:rFonts w:hint="eastAsia" w:ascii="仿宋" w:hAnsi="仿宋" w:eastAsia="仿宋" w:cs="仿宋"/>
          <w:color w:val="auto"/>
          <w:sz w:val="28"/>
          <w:szCs w:val="28"/>
        </w:rPr>
        <w:t>话：</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电</w:t>
      </w:r>
      <w:r>
        <w:rPr>
          <w:rFonts w:hint="eastAsia" w:ascii="仿宋" w:hAnsi="仿宋" w:eastAsia="仿宋" w:cs="仿宋"/>
          <w:color w:val="auto"/>
          <w:sz w:val="28"/>
          <w:szCs w:val="28"/>
        </w:rPr>
        <w:tab/>
      </w:r>
      <w:r>
        <w:rPr>
          <w:rFonts w:hint="eastAsia" w:ascii="仿宋" w:hAnsi="仿宋" w:eastAsia="仿宋" w:cs="仿宋"/>
          <w:color w:val="auto"/>
          <w:sz w:val="28"/>
          <w:szCs w:val="28"/>
        </w:rPr>
        <w:t>话：</w:t>
      </w:r>
    </w:p>
    <w:p w14:paraId="1A45F672">
      <w:pPr>
        <w:pStyle w:val="7"/>
        <w:numPr>
          <w:ilvl w:val="0"/>
          <w:numId w:val="0"/>
        </w:numPr>
        <w:tabs>
          <w:tab w:val="left" w:pos="5631"/>
          <w:tab w:val="left" w:pos="6591"/>
          <w:tab w:val="left" w:pos="7191"/>
          <w:tab w:val="left" w:pos="7791"/>
          <w:tab w:val="left" w:pos="8247"/>
          <w:tab w:val="clear" w:pos="780"/>
        </w:tabs>
        <w:kinsoku w:val="0"/>
        <w:overflowPunct w:val="0"/>
        <w:adjustRightInd w:val="0"/>
        <w:snapToGrid w:val="0"/>
        <w:spacing w:line="360" w:lineRule="auto"/>
        <w:ind w:left="709" w:leftChars="0" w:right="238" w:rightChars="0"/>
        <w:rPr>
          <w:rFonts w:hint="eastAsia" w:ascii="仿宋" w:hAnsi="仿宋" w:eastAsia="仿宋" w:cs="仿宋"/>
          <w:color w:val="auto"/>
          <w:sz w:val="28"/>
          <w:szCs w:val="28"/>
        </w:rPr>
      </w:pPr>
      <w:r>
        <w:rPr>
          <w:rFonts w:hint="eastAsia" w:ascii="仿宋" w:hAnsi="仿宋" w:eastAsia="仿宋" w:cs="仿宋"/>
          <w:color w:val="auto"/>
          <w:sz w:val="28"/>
          <w:szCs w:val="28"/>
        </w:rPr>
        <w:t>投标人：</w:t>
      </w:r>
      <w:r>
        <w:rPr>
          <w:rFonts w:hint="eastAsia" w:ascii="仿宋" w:hAnsi="仿宋" w:eastAsia="仿宋" w:cs="仿宋"/>
          <w:color w:val="auto"/>
          <w:sz w:val="28"/>
          <w:szCs w:val="28"/>
          <w:u w:val="single"/>
        </w:rPr>
        <w:tab/>
      </w:r>
      <w:r>
        <w:rPr>
          <w:rFonts w:hint="eastAsia" w:ascii="仿宋" w:hAnsi="仿宋" w:eastAsia="仿宋" w:cs="仿宋"/>
          <w:color w:val="auto"/>
          <w:sz w:val="28"/>
          <w:szCs w:val="28"/>
          <w:u w:val="single"/>
        </w:rPr>
        <w:tab/>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（盖章）</w:t>
      </w:r>
    </w:p>
    <w:p w14:paraId="63974718">
      <w:pPr>
        <w:pStyle w:val="7"/>
        <w:numPr>
          <w:ilvl w:val="0"/>
          <w:numId w:val="0"/>
        </w:numPr>
        <w:tabs>
          <w:tab w:val="left" w:pos="5145"/>
          <w:tab w:val="left" w:pos="6591"/>
          <w:tab w:val="left" w:pos="7191"/>
          <w:tab w:val="left" w:pos="7791"/>
          <w:tab w:val="left" w:pos="8247"/>
          <w:tab w:val="clear" w:pos="780"/>
        </w:tabs>
        <w:kinsoku w:val="0"/>
        <w:overflowPunct w:val="0"/>
        <w:adjustRightInd w:val="0"/>
        <w:snapToGrid w:val="0"/>
        <w:spacing w:line="360" w:lineRule="auto"/>
        <w:ind w:leftChars="50" w:right="238" w:rightChars="0" w:firstLine="3420" w:firstLineChars="1200"/>
        <w:jc w:val="both"/>
        <w:rPr>
          <w:rFonts w:hint="eastAsia" w:ascii="仿宋" w:hAnsi="仿宋" w:eastAsia="仿宋" w:cs="仿宋"/>
          <w:color w:val="auto"/>
          <w:sz w:val="28"/>
          <w:szCs w:val="28"/>
        </w:rPr>
      </w:pPr>
    </w:p>
    <w:p w14:paraId="7BCB39AF">
      <w:pPr>
        <w:pStyle w:val="7"/>
        <w:numPr>
          <w:ilvl w:val="0"/>
          <w:numId w:val="0"/>
        </w:numPr>
        <w:tabs>
          <w:tab w:val="left" w:pos="5145"/>
          <w:tab w:val="left" w:pos="6591"/>
          <w:tab w:val="left" w:pos="7191"/>
          <w:tab w:val="left" w:pos="7791"/>
          <w:tab w:val="left" w:pos="8247"/>
          <w:tab w:val="clear" w:pos="780"/>
        </w:tabs>
        <w:kinsoku w:val="0"/>
        <w:overflowPunct w:val="0"/>
        <w:adjustRightInd w:val="0"/>
        <w:snapToGrid w:val="0"/>
        <w:spacing w:line="360" w:lineRule="auto"/>
        <w:ind w:leftChars="50" w:right="238" w:rightChars="0" w:firstLine="3420" w:firstLineChars="1200"/>
        <w:jc w:val="both"/>
        <w:rPr>
          <w:rFonts w:hint="eastAsia" w:ascii="仿宋" w:hAnsi="仿宋" w:eastAsia="仿宋" w:cs="仿宋"/>
          <w:b/>
          <w:bCs/>
          <w:color w:val="auto"/>
          <w:sz w:val="28"/>
          <w:szCs w:val="28"/>
        </w:rPr>
      </w:pPr>
      <w:r>
        <w:rPr>
          <w:rFonts w:hint="eastAsia" w:ascii="仿宋" w:hAnsi="仿宋" w:eastAsia="仿宋" w:cs="仿宋"/>
          <w:color w:val="auto"/>
          <w:sz w:val="28"/>
          <w:szCs w:val="28"/>
        </w:rPr>
        <w:t xml:space="preserve"> 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日                </w:t>
      </w:r>
    </w:p>
    <w:p w14:paraId="3DDEB08E">
      <w:pPr>
        <w:pStyle w:val="4"/>
        <w:numPr>
          <w:ilvl w:val="0"/>
          <w:numId w:val="0"/>
        </w:numPr>
        <w:shd w:val="clear" w:color="auto" w:fill="auto"/>
        <w:spacing w:before="0" w:line="240" w:lineRule="atLeast"/>
        <w:rPr>
          <w:rFonts w:hint="eastAsia" w:ascii="仿宋" w:hAnsi="仿宋" w:eastAsia="仿宋" w:cs="仿宋"/>
          <w:b/>
          <w:bCs/>
          <w:color w:val="auto"/>
          <w:spacing w:val="0"/>
          <w:w w:val="100"/>
          <w:position w:val="0"/>
          <w:sz w:val="28"/>
          <w:szCs w:val="28"/>
          <w:shd w:val="clear" w:color="auto" w:fill="auto"/>
          <w:lang w:val="en-US" w:eastAsia="zh-CN" w:bidi="en-US"/>
        </w:rPr>
      </w:pPr>
    </w:p>
    <w:p w14:paraId="3E62C627">
      <w:pPr>
        <w:pStyle w:val="4"/>
        <w:numPr>
          <w:ilvl w:val="0"/>
          <w:numId w:val="0"/>
        </w:numPr>
        <w:shd w:val="clear" w:color="auto" w:fill="auto"/>
        <w:spacing w:before="0" w:line="240" w:lineRule="atLeast"/>
        <w:rPr>
          <w:rFonts w:hint="eastAsia" w:ascii="仿宋" w:hAnsi="仿宋" w:eastAsia="仿宋" w:cs="仿宋"/>
          <w:b/>
          <w:bCs/>
          <w:color w:val="auto"/>
          <w:spacing w:val="0"/>
          <w:w w:val="100"/>
          <w:position w:val="0"/>
          <w:sz w:val="28"/>
          <w:szCs w:val="28"/>
          <w:shd w:val="clear" w:color="auto" w:fill="auto"/>
          <w:lang w:val="en-US" w:eastAsia="en-US" w:bidi="en-US"/>
        </w:rPr>
      </w:pPr>
      <w:r>
        <w:rPr>
          <w:rFonts w:hint="eastAsia" w:ascii="仿宋" w:hAnsi="仿宋" w:eastAsia="仿宋" w:cs="仿宋"/>
          <w:b/>
          <w:bCs/>
          <w:color w:val="auto"/>
          <w:spacing w:val="0"/>
          <w:w w:val="100"/>
          <w:position w:val="0"/>
          <w:sz w:val="28"/>
          <w:szCs w:val="28"/>
          <w:shd w:val="clear" w:color="auto" w:fill="auto"/>
          <w:lang w:val="en-US" w:eastAsia="zh-CN" w:bidi="en-US"/>
        </w:rPr>
        <w:t>4、</w:t>
      </w:r>
      <w:r>
        <w:rPr>
          <w:rFonts w:hint="eastAsia" w:ascii="仿宋" w:hAnsi="仿宋" w:eastAsia="仿宋" w:cs="仿宋"/>
          <w:b/>
          <w:bCs/>
          <w:color w:val="auto"/>
          <w:spacing w:val="0"/>
          <w:w w:val="100"/>
          <w:position w:val="0"/>
          <w:sz w:val="28"/>
          <w:szCs w:val="28"/>
          <w:shd w:val="clear" w:color="auto" w:fill="auto"/>
          <w:lang w:val="en-US" w:eastAsia="en-US" w:bidi="en-US"/>
        </w:rPr>
        <w:t>投标保证金缴纳凭证或投标担保函</w:t>
      </w:r>
    </w:p>
    <w:p w14:paraId="29525A3A">
      <w:pPr>
        <w:shd w:val="clear" w:color="auto" w:fill="auto"/>
        <w:ind w:firstLine="570" w:firstLineChars="200"/>
        <w:rPr>
          <w:rFonts w:hint="eastAsia" w:ascii="仿宋" w:hAnsi="仿宋" w:eastAsia="仿宋" w:cs="仿宋"/>
          <w:color w:val="auto"/>
          <w:sz w:val="28"/>
          <w:szCs w:val="28"/>
          <w:highlight w:val="none"/>
        </w:rPr>
      </w:pPr>
    </w:p>
    <w:p w14:paraId="61F86762">
      <w:pPr>
        <w:pStyle w:val="5"/>
        <w:shd w:val="clear" w:color="auto" w:fill="auto"/>
        <w:rPr>
          <w:rFonts w:hint="eastAsia" w:ascii="仿宋" w:hAnsi="仿宋" w:eastAsia="仿宋" w:cs="仿宋"/>
          <w:color w:val="auto"/>
          <w:sz w:val="28"/>
          <w:szCs w:val="28"/>
          <w:highlight w:val="none"/>
        </w:rPr>
      </w:pPr>
    </w:p>
    <w:tbl>
      <w:tblPr>
        <w:tblStyle w:val="17"/>
        <w:tblpPr w:leftFromText="180" w:rightFromText="180" w:vertAnchor="text" w:horzAnchor="page" w:tblpX="2090" w:tblpY="750"/>
        <w:tblOverlap w:val="never"/>
        <w:tblW w:w="7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14:paraId="5D566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6" w:hRule="atLeast"/>
        </w:trPr>
        <w:tc>
          <w:tcPr>
            <w:tcW w:w="7879" w:type="dxa"/>
            <w:noWrap w:val="0"/>
            <w:vAlign w:val="top"/>
          </w:tcPr>
          <w:p w14:paraId="350F0EF0">
            <w:pPr>
              <w:shd w:val="clear" w:color="auto" w:fill="auto"/>
              <w:jc w:val="both"/>
              <w:rPr>
                <w:rFonts w:hint="eastAsia" w:ascii="仿宋" w:hAnsi="仿宋" w:eastAsia="仿宋" w:cs="仿宋"/>
                <w:b/>
                <w:bCs/>
                <w:color w:val="auto"/>
                <w:sz w:val="28"/>
                <w:szCs w:val="28"/>
                <w:highlight w:val="none"/>
              </w:rPr>
            </w:pPr>
          </w:p>
          <w:p w14:paraId="59630A0A">
            <w:pPr>
              <w:shd w:val="clear" w:color="auto" w:fill="auto"/>
              <w:jc w:val="both"/>
              <w:rPr>
                <w:rFonts w:hint="eastAsia" w:ascii="仿宋" w:hAnsi="仿宋" w:eastAsia="仿宋" w:cs="仿宋"/>
                <w:b/>
                <w:bCs/>
                <w:color w:val="auto"/>
                <w:sz w:val="28"/>
                <w:szCs w:val="28"/>
                <w:highlight w:val="none"/>
              </w:rPr>
            </w:pPr>
          </w:p>
          <w:p w14:paraId="534B0BE8">
            <w:pPr>
              <w:shd w:val="clear" w:color="auto" w:fill="auto"/>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打款凭证</w:t>
            </w:r>
          </w:p>
        </w:tc>
      </w:tr>
    </w:tbl>
    <w:p w14:paraId="0FBFF98C">
      <w:pPr>
        <w:pStyle w:val="5"/>
        <w:shd w:val="clear" w:color="auto" w:fill="auto"/>
        <w:rPr>
          <w:rFonts w:hint="eastAsia" w:ascii="仿宋" w:hAnsi="仿宋" w:eastAsia="仿宋" w:cs="仿宋"/>
          <w:color w:val="auto"/>
          <w:sz w:val="28"/>
          <w:szCs w:val="28"/>
          <w:highlight w:val="none"/>
        </w:rPr>
      </w:pPr>
    </w:p>
    <w:p w14:paraId="0BCFD3D5">
      <w:pPr>
        <w:shd w:val="clear" w:color="auto" w:fill="auto"/>
        <w:spacing w:line="240" w:lineRule="atLeast"/>
        <w:ind w:left="1169" w:leftChars="257" w:hanging="540"/>
        <w:jc w:val="center"/>
        <w:rPr>
          <w:rFonts w:hint="eastAsia" w:ascii="仿宋" w:hAnsi="仿宋" w:eastAsia="仿宋" w:cs="仿宋"/>
          <w:color w:val="auto"/>
          <w:sz w:val="28"/>
          <w:szCs w:val="28"/>
          <w:highlight w:val="none"/>
        </w:rPr>
      </w:pPr>
    </w:p>
    <w:p w14:paraId="73341F08">
      <w:pPr>
        <w:shd w:val="clear" w:color="auto" w:fill="auto"/>
        <w:rPr>
          <w:rFonts w:hint="eastAsia" w:ascii="仿宋" w:hAnsi="仿宋" w:eastAsia="仿宋" w:cs="仿宋"/>
          <w:color w:val="auto"/>
          <w:sz w:val="28"/>
          <w:szCs w:val="28"/>
          <w:highlight w:val="none"/>
        </w:rPr>
      </w:pPr>
    </w:p>
    <w:tbl>
      <w:tblPr>
        <w:tblStyle w:val="17"/>
        <w:tblpPr w:leftFromText="180" w:rightFromText="180" w:vertAnchor="text" w:horzAnchor="page" w:tblpX="2090" w:tblpY="750"/>
        <w:tblOverlap w:val="never"/>
        <w:tblW w:w="7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14:paraId="7879E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6" w:hRule="atLeast"/>
        </w:trPr>
        <w:tc>
          <w:tcPr>
            <w:tcW w:w="7879" w:type="dxa"/>
            <w:noWrap w:val="0"/>
            <w:vAlign w:val="top"/>
          </w:tcPr>
          <w:p w14:paraId="11B7FF1B">
            <w:pPr>
              <w:shd w:val="clear" w:color="auto" w:fill="auto"/>
              <w:jc w:val="both"/>
              <w:rPr>
                <w:rFonts w:hint="eastAsia" w:ascii="仿宋" w:hAnsi="仿宋" w:eastAsia="仿宋" w:cs="仿宋"/>
                <w:b/>
                <w:bCs/>
                <w:color w:val="auto"/>
                <w:sz w:val="28"/>
                <w:szCs w:val="28"/>
                <w:highlight w:val="none"/>
              </w:rPr>
            </w:pPr>
          </w:p>
          <w:p w14:paraId="2982542D">
            <w:pPr>
              <w:shd w:val="clear" w:color="auto" w:fill="auto"/>
              <w:jc w:val="center"/>
              <w:rPr>
                <w:rFonts w:hint="eastAsia" w:ascii="仿宋" w:hAnsi="仿宋" w:eastAsia="仿宋" w:cs="仿宋"/>
                <w:b/>
                <w:bCs/>
                <w:color w:val="auto"/>
                <w:sz w:val="28"/>
                <w:szCs w:val="28"/>
                <w:highlight w:val="none"/>
              </w:rPr>
            </w:pPr>
          </w:p>
          <w:p w14:paraId="761BD1DB">
            <w:pPr>
              <w:shd w:val="clear" w:color="auto" w:fill="auto"/>
              <w:jc w:val="center"/>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汇款回执单</w:t>
            </w:r>
          </w:p>
        </w:tc>
      </w:tr>
    </w:tbl>
    <w:p w14:paraId="1C2B78BE">
      <w:pPr>
        <w:pStyle w:val="5"/>
        <w:shd w:val="clear" w:color="auto" w:fill="auto"/>
        <w:rPr>
          <w:rFonts w:hint="eastAsia" w:ascii="仿宋" w:hAnsi="仿宋" w:eastAsia="仿宋" w:cs="仿宋"/>
          <w:color w:val="auto"/>
          <w:sz w:val="28"/>
          <w:szCs w:val="28"/>
          <w:highlight w:val="none"/>
        </w:rPr>
      </w:pPr>
    </w:p>
    <w:p w14:paraId="69A8FBE9">
      <w:pPr>
        <w:pStyle w:val="5"/>
        <w:shd w:val="clear" w:color="auto" w:fill="auto"/>
        <w:rPr>
          <w:rFonts w:hint="eastAsia" w:ascii="仿宋" w:hAnsi="仿宋" w:eastAsia="仿宋" w:cs="仿宋"/>
          <w:color w:val="auto"/>
          <w:sz w:val="28"/>
          <w:szCs w:val="28"/>
          <w:highlight w:val="none"/>
        </w:rPr>
      </w:pPr>
    </w:p>
    <w:p w14:paraId="6B660593">
      <w:pPr>
        <w:pStyle w:val="5"/>
        <w:shd w:val="clear" w:color="auto" w:fill="auto"/>
        <w:rPr>
          <w:rFonts w:hint="eastAsia" w:ascii="仿宋" w:hAnsi="仿宋" w:eastAsia="仿宋" w:cs="仿宋"/>
          <w:color w:val="auto"/>
          <w:sz w:val="28"/>
          <w:szCs w:val="28"/>
          <w:highlight w:val="none"/>
        </w:rPr>
      </w:pPr>
    </w:p>
    <w:p w14:paraId="5CDF4A15">
      <w:pPr>
        <w:pStyle w:val="5"/>
        <w:shd w:val="clear" w:color="auto" w:fill="auto"/>
        <w:rPr>
          <w:rFonts w:hint="eastAsia" w:ascii="仿宋" w:hAnsi="仿宋" w:eastAsia="仿宋" w:cs="仿宋"/>
          <w:color w:val="auto"/>
          <w:sz w:val="28"/>
          <w:szCs w:val="28"/>
          <w:highlight w:val="none"/>
        </w:rPr>
      </w:pPr>
    </w:p>
    <w:p w14:paraId="7A66420B">
      <w:pPr>
        <w:pStyle w:val="5"/>
        <w:shd w:val="clear" w:color="auto" w:fill="auto"/>
        <w:rPr>
          <w:rFonts w:hint="eastAsia" w:ascii="仿宋" w:hAnsi="仿宋" w:eastAsia="仿宋" w:cs="仿宋"/>
          <w:color w:val="auto"/>
          <w:sz w:val="28"/>
          <w:szCs w:val="28"/>
          <w:highlight w:val="none"/>
        </w:rPr>
      </w:pPr>
    </w:p>
    <w:p w14:paraId="1F9D0459">
      <w:pPr>
        <w:pStyle w:val="5"/>
        <w:shd w:val="clear" w:color="auto" w:fill="auto"/>
        <w:rPr>
          <w:rFonts w:hint="eastAsia" w:ascii="仿宋" w:hAnsi="仿宋" w:eastAsia="仿宋" w:cs="仿宋"/>
          <w:color w:val="auto"/>
          <w:sz w:val="28"/>
          <w:szCs w:val="28"/>
          <w:highlight w:val="none"/>
        </w:rPr>
      </w:pPr>
    </w:p>
    <w:p w14:paraId="6D2519A4">
      <w:pPr>
        <w:rPr>
          <w:rFonts w:hint="eastAsia" w:ascii="仿宋" w:hAnsi="仿宋" w:eastAsia="仿宋" w:cs="仿宋"/>
          <w:color w:val="auto"/>
          <w:sz w:val="28"/>
          <w:szCs w:val="28"/>
        </w:rPr>
      </w:pPr>
    </w:p>
    <w:p w14:paraId="697368ED">
      <w:pPr>
        <w:pStyle w:val="2"/>
        <w:rPr>
          <w:rFonts w:hint="eastAsia" w:ascii="仿宋" w:hAnsi="仿宋" w:eastAsia="仿宋" w:cs="仿宋"/>
          <w:color w:val="auto"/>
          <w:sz w:val="28"/>
          <w:szCs w:val="28"/>
        </w:rPr>
      </w:pPr>
    </w:p>
    <w:p w14:paraId="4679E5A4">
      <w:pPr>
        <w:rPr>
          <w:rFonts w:hint="eastAsia" w:ascii="仿宋" w:hAnsi="仿宋" w:eastAsia="仿宋" w:cs="仿宋"/>
          <w:color w:val="auto"/>
          <w:sz w:val="28"/>
          <w:szCs w:val="28"/>
        </w:rPr>
      </w:pPr>
    </w:p>
    <w:p w14:paraId="0EB0810A">
      <w:pPr>
        <w:rPr>
          <w:rFonts w:hint="eastAsia" w:ascii="仿宋" w:hAnsi="仿宋" w:eastAsia="仿宋" w:cs="仿宋"/>
          <w:color w:val="auto"/>
          <w:sz w:val="28"/>
          <w:szCs w:val="28"/>
        </w:rPr>
      </w:pPr>
    </w:p>
    <w:p w14:paraId="5FBC0380">
      <w:pPr>
        <w:rPr>
          <w:rFonts w:hint="eastAsia" w:ascii="仿宋" w:hAnsi="仿宋" w:eastAsia="仿宋" w:cs="仿宋"/>
          <w:color w:val="auto"/>
          <w:sz w:val="28"/>
          <w:szCs w:val="28"/>
        </w:rPr>
      </w:pPr>
    </w:p>
    <w:p w14:paraId="63C6A474">
      <w:pPr>
        <w:shd w:val="clear" w:color="auto" w:fill="auto"/>
        <w:jc w:val="center"/>
        <w:rPr>
          <w:rFonts w:hint="eastAsia" w:ascii="仿宋" w:hAnsi="仿宋" w:eastAsia="仿宋" w:cs="仿宋"/>
          <w:color w:val="auto"/>
          <w:sz w:val="28"/>
          <w:szCs w:val="28"/>
          <w:highlight w:val="none"/>
        </w:rPr>
      </w:pPr>
    </w:p>
    <w:p w14:paraId="50D17BBA">
      <w:pPr>
        <w:shd w:val="clear" w:color="auto" w:fill="auto"/>
        <w:jc w:val="center"/>
        <w:rPr>
          <w:rFonts w:hint="eastAsia" w:ascii="仿宋" w:hAnsi="仿宋" w:eastAsia="仿宋" w:cs="仿宋"/>
          <w:color w:val="auto"/>
          <w:sz w:val="28"/>
          <w:szCs w:val="28"/>
          <w:highlight w:val="none"/>
        </w:rPr>
      </w:pPr>
    </w:p>
    <w:p w14:paraId="50BB28F8">
      <w:pPr>
        <w:shd w:val="clear" w:color="auto" w:fill="auto"/>
        <w:jc w:val="both"/>
        <w:rPr>
          <w:rFonts w:hint="eastAsia" w:ascii="仿宋" w:hAnsi="仿宋" w:eastAsia="仿宋" w:cs="仿宋"/>
          <w:b/>
          <w:bCs/>
          <w:color w:val="auto"/>
          <w:sz w:val="28"/>
          <w:szCs w:val="28"/>
          <w:highlight w:val="none"/>
        </w:rPr>
      </w:pPr>
      <w:bookmarkStart w:id="80" w:name="bookmark225"/>
      <w:bookmarkStart w:id="81" w:name="bookmark235"/>
      <w:bookmarkStart w:id="82" w:name="bookmark228"/>
      <w:bookmarkStart w:id="83" w:name="bookmark226"/>
      <w:bookmarkStart w:id="84" w:name="bookmark233"/>
      <w:bookmarkStart w:id="85" w:name="bookmark234"/>
      <w:bookmarkStart w:id="86" w:name="bookmark236"/>
    </w:p>
    <w:p w14:paraId="7A49DFC7">
      <w:pPr>
        <w:shd w:val="clear" w:color="auto" w:fill="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 xml:space="preserve">政府采购投标担保函 </w:t>
      </w:r>
    </w:p>
    <w:p w14:paraId="1C120320">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编号：</w:t>
      </w:r>
    </w:p>
    <w:p w14:paraId="75BCE92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                   （采购人或采购代理机构）：  </w:t>
      </w:r>
    </w:p>
    <w:p w14:paraId="01BBD779">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鉴于</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（以下简称“投标人”）拟参加编号为 </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     的  </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 项目（以下简称“本项目”）投标，根据本项目谈判文件，供应商参加投标时应向你方交纳投标保证金，且可以投标担保函的形式交纳投标保证金。应供应商的申请，我方以保证的方式向你方提供如下投标保证金担保：</w:t>
      </w:r>
    </w:p>
    <w:p w14:paraId="35F54C23">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一、保证责任的情形及保证金额</w:t>
      </w:r>
    </w:p>
    <w:p w14:paraId="6699486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（一）在投标人出现下列情形之一时，我方承担保证责任：</w:t>
      </w:r>
    </w:p>
    <w:p w14:paraId="7AF095D8">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1．中标后投标人无正当理由不与采购人或者采购代理机构签订《政府采购合同》；</w:t>
      </w:r>
    </w:p>
    <w:p w14:paraId="31AAB9D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2．谈判文件规定的投标人应当缴纳保证金的其他情形。</w:t>
      </w:r>
    </w:p>
    <w:p w14:paraId="56E3910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（二）我方承担保证责任的最高金额为人民币</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元（大写 </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），即本项目的投标保证金金额。</w:t>
      </w:r>
    </w:p>
    <w:p w14:paraId="36A4C7E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二、保证的方式及保证期间</w:t>
      </w:r>
    </w:p>
    <w:p w14:paraId="708C57DD">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我方保证的方式为：连带责任保证。</w:t>
      </w:r>
    </w:p>
    <w:p w14:paraId="50EE27C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我方的保证期间为：自本保函生效之日起</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个月止。</w:t>
      </w:r>
    </w:p>
    <w:p w14:paraId="58003CF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三、承担保证责任的程序</w:t>
      </w:r>
    </w:p>
    <w:p w14:paraId="64910D46">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1．你方要求我方承担保证责任的，应在本保函保证期间内向我方发出书面索赔通知。索赔通知应写明要求索赔的金额，支付款项应到达的账号，并附有证明投标人发生我方应承担保证责任情形的事实材料。</w:t>
      </w:r>
    </w:p>
    <w:p w14:paraId="6E700BF8">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2．我方在收到索赔通知及相关证明材料后，在</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个工作日内进行审查，符合应承担保证责任情形的，我方应按照你方的要求代投标人向你方支付投标保证金。</w:t>
      </w:r>
    </w:p>
    <w:p w14:paraId="5AC007F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四、保证责任的终止</w:t>
      </w:r>
    </w:p>
    <w:p w14:paraId="51084999">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1．保证期间届满你方未向我方书面主张保证责任的，自保证期间届满次日起，我方保证责任自动终止。</w:t>
      </w:r>
    </w:p>
    <w:p w14:paraId="51F2CA7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2．我方按照本保函向你贵方履行了保证责任后，自我方向你贵方支付款项（支付款项从我方账户划出）之日起，保证责任终止。</w:t>
      </w:r>
    </w:p>
    <w:p w14:paraId="644AA9C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3．按照法律法规的规定或出现我方保证责任终止的其它情形的，我方在本保函项下的保证责任亦终止。</w:t>
      </w:r>
    </w:p>
    <w:p w14:paraId="0D7E736D">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五、免责条款</w:t>
      </w:r>
    </w:p>
    <w:p w14:paraId="7628376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1．依照法律规定或你方与投标人的另行约定，全部或者部分免除投标人投标保证金义务时，我方亦免除相应的保证责任。</w:t>
      </w:r>
    </w:p>
    <w:p w14:paraId="2E02AA5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2．因你方原因致使投标人发生本保函第一条第（一）款约定情形的，我方不承担保证责任。</w:t>
      </w:r>
    </w:p>
    <w:p w14:paraId="1E12A56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3．因不可抗力造成投标人发生本保函第一条约定情形的，我方不承担保证责任。</w:t>
      </w:r>
    </w:p>
    <w:p w14:paraId="7B65BE2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4．你方或其他有权机关对谈判文件进行任何澄清或修改，加重我方保证责任的，我方对加重部分不承担保证责任，但该澄清或修改经我方事先书面同意的除外。</w:t>
      </w:r>
    </w:p>
    <w:p w14:paraId="5069E49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六、争议的解决</w:t>
      </w:r>
    </w:p>
    <w:p w14:paraId="6D66CE5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因本保函发生的纠纷，由你我双方协商解决，协商不成的，通过诉讼程序解决，诉讼管辖地法院为          法院。</w:t>
      </w:r>
    </w:p>
    <w:p w14:paraId="1535C709">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七、保函的生效</w:t>
      </w:r>
    </w:p>
    <w:p w14:paraId="40ECF86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本保函自我方加盖公章之日起生效。</w:t>
      </w:r>
    </w:p>
    <w:p w14:paraId="764424B1">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p>
    <w:p w14:paraId="64137915">
      <w:pPr>
        <w:keepNext w:val="0"/>
        <w:keepLines w:val="0"/>
        <w:pageBreakBefore w:val="0"/>
        <w:widowControl w:val="0"/>
        <w:shd w:val="clear" w:color="auto" w:fill="auto"/>
        <w:tabs>
          <w:tab w:val="left" w:pos="5580"/>
          <w:tab w:val="left" w:pos="7010"/>
          <w:tab w:val="right" w:pos="9116"/>
        </w:tabs>
        <w:kinsoku/>
        <w:wordWrap/>
        <w:overflowPunct/>
        <w:topLinePunct w:val="0"/>
        <w:autoSpaceDE/>
        <w:autoSpaceDN/>
        <w:bidi w:val="0"/>
        <w:adjustRightInd/>
        <w:snapToGrid/>
        <w:spacing w:line="500" w:lineRule="atLeast"/>
        <w:jc w:val="left"/>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ab/>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保证人：（公章）</w:t>
      </w:r>
    </w:p>
    <w:p w14:paraId="722573D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                               </w:t>
      </w:r>
    </w:p>
    <w:p w14:paraId="4A6CA2E8">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jc w:val="center"/>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sectPr>
          <w:pgSz w:w="11905" w:h="16838"/>
          <w:pgMar w:top="1440" w:right="1080" w:bottom="1440" w:left="1080" w:header="850" w:footer="992" w:gutter="0"/>
          <w:pgNumType w:fmt="decimal"/>
          <w:cols w:space="0" w:num="1"/>
          <w:rtlGutter w:val="0"/>
          <w:docGrid w:type="linesAndChars" w:linePitch="332" w:charSpace="1057"/>
        </w:sect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                             年     月     日  </w:t>
      </w:r>
    </w:p>
    <w:p w14:paraId="2FA621DE">
      <w:pPr>
        <w:keepNext w:val="0"/>
        <w:keepLines w:val="0"/>
        <w:pageBreakBefore w:val="0"/>
        <w:widowControl w:val="0"/>
        <w:numPr>
          <w:ilvl w:val="0"/>
          <w:numId w:val="7"/>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投标企业须提供投标人（被授权本单位在职人员）近6个月内任意一个月有效的社保证明；</w:t>
      </w:r>
    </w:p>
    <w:p w14:paraId="5711C56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285" w:firstLineChars="1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说明：复印件上应加盖本单位章</w:t>
      </w:r>
    </w:p>
    <w:p w14:paraId="23282FB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75733D94">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5D028D93">
      <w:pPr>
        <w:pStyle w:val="7"/>
        <w:numPr>
          <w:ilvl w:val="0"/>
          <w:numId w:val="0"/>
        </w:numPr>
        <w:ind w:left="360" w:leftChars="0"/>
        <w:rPr>
          <w:rFonts w:hint="eastAsia" w:ascii="仿宋" w:hAnsi="仿宋" w:eastAsia="仿宋" w:cs="仿宋"/>
          <w:color w:val="auto"/>
          <w:sz w:val="28"/>
          <w:szCs w:val="28"/>
          <w:lang w:val="en-US" w:eastAsia="zh-CN"/>
        </w:rPr>
      </w:pPr>
    </w:p>
    <w:p w14:paraId="3B483CFA">
      <w:pPr>
        <w:pStyle w:val="8"/>
        <w:rPr>
          <w:rFonts w:hint="eastAsia" w:ascii="仿宋" w:hAnsi="仿宋" w:eastAsia="仿宋" w:cs="仿宋"/>
          <w:b/>
          <w:bCs/>
          <w:color w:val="auto"/>
          <w:sz w:val="28"/>
          <w:szCs w:val="28"/>
          <w:lang w:val="en-US" w:eastAsia="zh-CN"/>
        </w:rPr>
      </w:pPr>
    </w:p>
    <w:p w14:paraId="22FC125F">
      <w:pPr>
        <w:rPr>
          <w:rFonts w:hint="eastAsia" w:ascii="仿宋" w:hAnsi="仿宋" w:eastAsia="仿宋" w:cs="仿宋"/>
          <w:b/>
          <w:bCs/>
          <w:color w:val="auto"/>
          <w:sz w:val="28"/>
          <w:szCs w:val="28"/>
          <w:lang w:val="en-US" w:eastAsia="zh-CN"/>
        </w:rPr>
      </w:pPr>
    </w:p>
    <w:p w14:paraId="72F4FF21">
      <w:pPr>
        <w:pStyle w:val="7"/>
        <w:numPr>
          <w:ilvl w:val="0"/>
          <w:numId w:val="0"/>
        </w:numPr>
        <w:ind w:left="360" w:leftChars="0"/>
        <w:rPr>
          <w:rFonts w:hint="eastAsia" w:ascii="仿宋" w:hAnsi="仿宋" w:eastAsia="仿宋" w:cs="仿宋"/>
          <w:color w:val="auto"/>
          <w:sz w:val="28"/>
          <w:szCs w:val="28"/>
          <w:lang w:val="en-US" w:eastAsia="zh-CN"/>
        </w:rPr>
      </w:pPr>
    </w:p>
    <w:p w14:paraId="4FA84322">
      <w:pPr>
        <w:pStyle w:val="8"/>
        <w:rPr>
          <w:rFonts w:hint="eastAsia" w:ascii="仿宋" w:hAnsi="仿宋" w:eastAsia="仿宋" w:cs="仿宋"/>
          <w:color w:val="auto"/>
          <w:sz w:val="28"/>
          <w:szCs w:val="28"/>
          <w:lang w:val="en-US" w:eastAsia="zh-CN"/>
        </w:rPr>
      </w:pPr>
    </w:p>
    <w:p w14:paraId="7C281A3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056807D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762ED0B">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2C65A945">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B215D5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55F7CC3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E52FEA7">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208BAA0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D29954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55DE029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8FEA69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294623E4">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20CE3EF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052BE904">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039D2E7B">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A73150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ECAA24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4FBFB5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6CD634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70FC3D98">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397519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B68472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bCs/>
          <w:color w:val="auto"/>
          <w:sz w:val="28"/>
          <w:szCs w:val="28"/>
          <w:lang w:val="en-US" w:eastAsia="zh-CN"/>
        </w:rPr>
      </w:pPr>
    </w:p>
    <w:p w14:paraId="5F7E6EF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6、投标企业需提供参加本次采购活动前三年内未被“信用中国”（www.creditchina.gov.cn）、中国政府采购网（www.ccgp.gov.cn）列入失信被执行人、重大税收违法案件当事人名单、政府采购严重违法失信行为记录名单；</w:t>
      </w:r>
    </w:p>
    <w:p w14:paraId="17F45A08">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53DB8D64">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0413D5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022CAD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74E771D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23624D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296B0F7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7C572B0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3993DC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768C6F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300F7E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7C931CD5">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0B93FFDB">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70DD75A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1303AC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2B4B84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F45BEF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0155E22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558E46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59A9FAB">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7738651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01ADBE7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D541F2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21C0C7D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53181F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085C004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D80FE2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4CD0D8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7951B6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75CB6A24">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bCs/>
          <w:color w:val="auto"/>
          <w:sz w:val="28"/>
          <w:szCs w:val="28"/>
          <w:lang w:val="en-US" w:eastAsia="zh-CN"/>
        </w:rPr>
      </w:pPr>
    </w:p>
    <w:p w14:paraId="69B1F17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7、投标人须知资料表要求的其他资格证明文件</w:t>
      </w:r>
    </w:p>
    <w:p w14:paraId="102DBAD4">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0185A36">
      <w:pPr>
        <w:snapToGrid w:val="0"/>
        <w:spacing w:line="360" w:lineRule="auto"/>
        <w:rPr>
          <w:rFonts w:hint="eastAsia" w:ascii="仿宋" w:hAnsi="仿宋" w:eastAsia="仿宋" w:cs="仿宋"/>
          <w:b/>
          <w:color w:val="auto"/>
          <w:sz w:val="28"/>
          <w:szCs w:val="28"/>
          <w:lang w:val="en-US" w:eastAsia="zh-CN"/>
        </w:rPr>
      </w:pPr>
    </w:p>
    <w:p w14:paraId="0D2E4B6B">
      <w:pPr>
        <w:snapToGrid w:val="0"/>
        <w:spacing w:line="360" w:lineRule="auto"/>
        <w:rPr>
          <w:rFonts w:hint="eastAsia" w:ascii="仿宋" w:hAnsi="仿宋" w:eastAsia="仿宋" w:cs="仿宋"/>
          <w:b/>
          <w:color w:val="auto"/>
          <w:sz w:val="28"/>
          <w:szCs w:val="28"/>
          <w:lang w:val="en-US" w:eastAsia="zh-CN"/>
        </w:rPr>
      </w:pPr>
    </w:p>
    <w:p w14:paraId="11154B34">
      <w:pPr>
        <w:snapToGrid w:val="0"/>
        <w:spacing w:line="360" w:lineRule="auto"/>
        <w:rPr>
          <w:rFonts w:hint="eastAsia" w:ascii="仿宋" w:hAnsi="仿宋" w:eastAsia="仿宋" w:cs="仿宋"/>
          <w:b/>
          <w:color w:val="auto"/>
          <w:sz w:val="28"/>
          <w:szCs w:val="28"/>
          <w:lang w:val="en-US" w:eastAsia="zh-CN"/>
        </w:rPr>
      </w:pPr>
    </w:p>
    <w:p w14:paraId="3FCC2213">
      <w:pPr>
        <w:snapToGrid w:val="0"/>
        <w:spacing w:line="360" w:lineRule="auto"/>
        <w:rPr>
          <w:rFonts w:hint="eastAsia" w:ascii="仿宋" w:hAnsi="仿宋" w:eastAsia="仿宋" w:cs="仿宋"/>
          <w:b/>
          <w:color w:val="auto"/>
          <w:sz w:val="28"/>
          <w:szCs w:val="28"/>
          <w:lang w:val="en-US" w:eastAsia="zh-CN"/>
        </w:rPr>
      </w:pPr>
    </w:p>
    <w:p w14:paraId="6EB69046">
      <w:pPr>
        <w:snapToGrid w:val="0"/>
        <w:spacing w:line="360" w:lineRule="auto"/>
        <w:rPr>
          <w:rFonts w:hint="eastAsia" w:ascii="仿宋" w:hAnsi="仿宋" w:eastAsia="仿宋" w:cs="仿宋"/>
          <w:b/>
          <w:color w:val="auto"/>
          <w:sz w:val="28"/>
          <w:szCs w:val="28"/>
          <w:lang w:val="en-US" w:eastAsia="zh-CN"/>
        </w:rPr>
      </w:pPr>
    </w:p>
    <w:p w14:paraId="2200EA5F">
      <w:pPr>
        <w:snapToGrid w:val="0"/>
        <w:spacing w:line="360" w:lineRule="auto"/>
        <w:rPr>
          <w:rFonts w:hint="eastAsia" w:ascii="仿宋" w:hAnsi="仿宋" w:eastAsia="仿宋" w:cs="仿宋"/>
          <w:b/>
          <w:color w:val="auto"/>
          <w:sz w:val="28"/>
          <w:szCs w:val="28"/>
          <w:lang w:val="en-US" w:eastAsia="zh-CN"/>
        </w:rPr>
      </w:pPr>
    </w:p>
    <w:p w14:paraId="4C741F78">
      <w:pPr>
        <w:snapToGrid w:val="0"/>
        <w:spacing w:line="360" w:lineRule="auto"/>
        <w:rPr>
          <w:rFonts w:hint="eastAsia" w:ascii="仿宋" w:hAnsi="仿宋" w:eastAsia="仿宋" w:cs="仿宋"/>
          <w:b/>
          <w:color w:val="auto"/>
          <w:sz w:val="28"/>
          <w:szCs w:val="28"/>
          <w:lang w:val="en-US" w:eastAsia="zh-CN"/>
        </w:rPr>
      </w:pPr>
    </w:p>
    <w:p w14:paraId="13DA66B0">
      <w:pPr>
        <w:snapToGrid w:val="0"/>
        <w:spacing w:line="360" w:lineRule="auto"/>
        <w:rPr>
          <w:rFonts w:hint="eastAsia" w:ascii="仿宋" w:hAnsi="仿宋" w:eastAsia="仿宋" w:cs="仿宋"/>
          <w:b/>
          <w:color w:val="auto"/>
          <w:sz w:val="28"/>
          <w:szCs w:val="28"/>
          <w:lang w:val="en-US" w:eastAsia="zh-CN"/>
        </w:rPr>
      </w:pPr>
    </w:p>
    <w:p w14:paraId="761D011E">
      <w:pPr>
        <w:snapToGrid w:val="0"/>
        <w:spacing w:line="360" w:lineRule="auto"/>
        <w:rPr>
          <w:rFonts w:hint="eastAsia" w:ascii="仿宋" w:hAnsi="仿宋" w:eastAsia="仿宋" w:cs="仿宋"/>
          <w:b/>
          <w:color w:val="auto"/>
          <w:sz w:val="28"/>
          <w:szCs w:val="28"/>
          <w:lang w:val="en-US" w:eastAsia="zh-CN"/>
        </w:rPr>
      </w:pPr>
    </w:p>
    <w:p w14:paraId="2F5C6288">
      <w:pPr>
        <w:snapToGrid w:val="0"/>
        <w:spacing w:line="360" w:lineRule="auto"/>
        <w:rPr>
          <w:rFonts w:hint="eastAsia" w:ascii="仿宋" w:hAnsi="仿宋" w:eastAsia="仿宋" w:cs="仿宋"/>
          <w:b/>
          <w:color w:val="auto"/>
          <w:sz w:val="28"/>
          <w:szCs w:val="28"/>
          <w:lang w:val="en-US" w:eastAsia="zh-CN"/>
        </w:rPr>
      </w:pPr>
    </w:p>
    <w:p w14:paraId="4A3216C5">
      <w:pPr>
        <w:snapToGrid w:val="0"/>
        <w:spacing w:line="360" w:lineRule="auto"/>
        <w:rPr>
          <w:rFonts w:hint="eastAsia" w:ascii="仿宋" w:hAnsi="仿宋" w:eastAsia="仿宋" w:cs="仿宋"/>
          <w:b/>
          <w:color w:val="auto"/>
          <w:sz w:val="28"/>
          <w:szCs w:val="28"/>
          <w:lang w:val="en-US" w:eastAsia="zh-CN"/>
        </w:rPr>
      </w:pPr>
    </w:p>
    <w:p w14:paraId="46B008BF">
      <w:pPr>
        <w:snapToGrid w:val="0"/>
        <w:spacing w:line="360" w:lineRule="auto"/>
        <w:jc w:val="center"/>
        <w:rPr>
          <w:rFonts w:hint="eastAsia" w:ascii="仿宋" w:hAnsi="仿宋" w:eastAsia="仿宋" w:cs="仿宋"/>
          <w:b/>
          <w:color w:val="auto"/>
          <w:sz w:val="28"/>
          <w:szCs w:val="28"/>
          <w:lang w:val="en-US" w:eastAsia="zh-CN"/>
        </w:rPr>
      </w:pPr>
    </w:p>
    <w:p w14:paraId="34EC9178">
      <w:pPr>
        <w:pStyle w:val="7"/>
        <w:numPr>
          <w:ilvl w:val="0"/>
          <w:numId w:val="0"/>
        </w:numPr>
        <w:ind w:left="360" w:leftChars="0"/>
        <w:rPr>
          <w:rFonts w:hint="eastAsia" w:ascii="仿宋" w:hAnsi="仿宋" w:eastAsia="仿宋" w:cs="仿宋"/>
          <w:color w:val="auto"/>
          <w:sz w:val="28"/>
          <w:szCs w:val="28"/>
          <w:lang w:val="en-US" w:eastAsia="zh-CN"/>
        </w:rPr>
      </w:pPr>
    </w:p>
    <w:p w14:paraId="200DA0A0">
      <w:pPr>
        <w:pStyle w:val="8"/>
        <w:rPr>
          <w:rFonts w:hint="eastAsia" w:ascii="仿宋" w:hAnsi="仿宋" w:eastAsia="仿宋" w:cs="仿宋"/>
          <w:b/>
          <w:color w:val="auto"/>
          <w:sz w:val="28"/>
          <w:szCs w:val="28"/>
          <w:lang w:val="en-US" w:eastAsia="zh-CN"/>
        </w:rPr>
      </w:pPr>
    </w:p>
    <w:p w14:paraId="1ECE8156">
      <w:pPr>
        <w:rPr>
          <w:rFonts w:hint="eastAsia" w:ascii="仿宋" w:hAnsi="仿宋" w:eastAsia="仿宋" w:cs="仿宋"/>
          <w:color w:val="auto"/>
          <w:sz w:val="28"/>
          <w:szCs w:val="28"/>
          <w:lang w:val="en-US" w:eastAsia="zh-CN"/>
        </w:rPr>
      </w:pPr>
    </w:p>
    <w:p w14:paraId="2588C4CF">
      <w:pPr>
        <w:pStyle w:val="7"/>
        <w:numPr>
          <w:ilvl w:val="0"/>
          <w:numId w:val="0"/>
        </w:numPr>
        <w:ind w:left="360" w:leftChars="0"/>
        <w:rPr>
          <w:rFonts w:hint="eastAsia" w:ascii="仿宋" w:hAnsi="仿宋" w:eastAsia="仿宋" w:cs="仿宋"/>
          <w:color w:val="auto"/>
          <w:sz w:val="28"/>
          <w:szCs w:val="28"/>
          <w:lang w:val="en-US" w:eastAsia="zh-CN"/>
        </w:rPr>
      </w:pPr>
    </w:p>
    <w:p w14:paraId="23111198">
      <w:pPr>
        <w:pStyle w:val="8"/>
        <w:rPr>
          <w:rFonts w:hint="eastAsia" w:ascii="仿宋" w:hAnsi="仿宋" w:eastAsia="仿宋" w:cs="仿宋"/>
          <w:color w:val="auto"/>
          <w:sz w:val="28"/>
          <w:szCs w:val="28"/>
          <w:lang w:val="en-US" w:eastAsia="zh-CN"/>
        </w:rPr>
      </w:pPr>
    </w:p>
    <w:p w14:paraId="160A6BFD">
      <w:pPr>
        <w:rPr>
          <w:rFonts w:hint="eastAsia" w:ascii="仿宋" w:hAnsi="仿宋" w:eastAsia="仿宋" w:cs="仿宋"/>
          <w:color w:val="auto"/>
          <w:sz w:val="28"/>
          <w:szCs w:val="28"/>
          <w:lang w:val="en-US" w:eastAsia="zh-CN"/>
        </w:rPr>
      </w:pPr>
    </w:p>
    <w:p w14:paraId="495DB307">
      <w:pPr>
        <w:pStyle w:val="7"/>
        <w:numPr>
          <w:ilvl w:val="0"/>
          <w:numId w:val="0"/>
        </w:numPr>
        <w:ind w:left="360" w:leftChars="0"/>
        <w:rPr>
          <w:rFonts w:hint="eastAsia" w:ascii="仿宋" w:hAnsi="仿宋" w:eastAsia="仿宋" w:cs="仿宋"/>
          <w:color w:val="auto"/>
          <w:sz w:val="28"/>
          <w:szCs w:val="28"/>
          <w:lang w:val="en-US" w:eastAsia="zh-CN"/>
        </w:rPr>
      </w:pPr>
    </w:p>
    <w:p w14:paraId="7906C2BC">
      <w:pPr>
        <w:pStyle w:val="8"/>
        <w:rPr>
          <w:rFonts w:hint="eastAsia" w:ascii="仿宋" w:hAnsi="仿宋" w:eastAsia="仿宋" w:cs="仿宋"/>
          <w:color w:val="auto"/>
          <w:sz w:val="28"/>
          <w:szCs w:val="28"/>
          <w:lang w:val="en-US" w:eastAsia="zh-CN"/>
        </w:rPr>
      </w:pPr>
    </w:p>
    <w:p w14:paraId="7AF6CF84">
      <w:pPr>
        <w:rPr>
          <w:rFonts w:hint="eastAsia" w:ascii="仿宋" w:hAnsi="仿宋" w:eastAsia="仿宋" w:cs="仿宋"/>
          <w:color w:val="auto"/>
          <w:sz w:val="28"/>
          <w:szCs w:val="28"/>
          <w:lang w:val="en-US" w:eastAsia="zh-CN"/>
        </w:rPr>
      </w:pPr>
    </w:p>
    <w:p w14:paraId="17814D98">
      <w:pPr>
        <w:snapToGrid w:val="0"/>
        <w:spacing w:line="360" w:lineRule="auto"/>
        <w:jc w:val="both"/>
        <w:rPr>
          <w:rFonts w:hint="eastAsia" w:ascii="仿宋" w:hAnsi="仿宋" w:eastAsia="仿宋" w:cs="仿宋"/>
          <w:b/>
          <w:color w:val="auto"/>
          <w:sz w:val="28"/>
          <w:szCs w:val="28"/>
          <w:lang w:val="en-US" w:eastAsia="zh-CN"/>
        </w:rPr>
      </w:pPr>
    </w:p>
    <w:p w14:paraId="5C52DAB3">
      <w:pPr>
        <w:snapToGrid w:val="0"/>
        <w:spacing w:line="360" w:lineRule="auto"/>
        <w:jc w:val="center"/>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商务及技术文件</w:t>
      </w:r>
    </w:p>
    <w:p w14:paraId="31485DED">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1、投标函</w:t>
      </w:r>
    </w:p>
    <w:p w14:paraId="59C8B685">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2、开标一览表</w:t>
      </w:r>
    </w:p>
    <w:p w14:paraId="28850856">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3、货物说明一览表</w:t>
      </w:r>
    </w:p>
    <w:p w14:paraId="432713B8">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4、投标分项报价表</w:t>
      </w:r>
    </w:p>
    <w:p w14:paraId="4999A3D1">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5、技术规格偏离表</w:t>
      </w:r>
    </w:p>
    <w:p w14:paraId="39895125">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6、商务条款偏离表</w:t>
      </w:r>
    </w:p>
    <w:p w14:paraId="5599DC0D">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7、投标人基本情况表</w:t>
      </w:r>
    </w:p>
    <w:p w14:paraId="4E8E68F9">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8、中小企业声明函(货物)</w:t>
      </w:r>
    </w:p>
    <w:p w14:paraId="0582694F">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9、《残疾人福利性单位声明函》</w:t>
      </w:r>
    </w:p>
    <w:p w14:paraId="10E85196">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bidi="en-US"/>
        </w:rPr>
      </w:pPr>
      <w:r>
        <w:rPr>
          <w:rFonts w:hint="eastAsia" w:ascii="仿宋" w:hAnsi="仿宋" w:eastAsia="仿宋" w:cs="仿宋"/>
          <w:b/>
          <w:color w:val="auto"/>
          <w:sz w:val="28"/>
          <w:szCs w:val="28"/>
          <w:lang w:val="en-US" w:eastAsia="zh-CN" w:bidi="en-US"/>
        </w:rPr>
        <w:t>10、投标人认为有必要提供的其他证明材料</w:t>
      </w:r>
    </w:p>
    <w:p w14:paraId="50CC860B">
      <w:pPr>
        <w:pStyle w:val="24"/>
        <w:rPr>
          <w:rFonts w:hint="eastAsia" w:ascii="仿宋" w:hAnsi="仿宋" w:eastAsia="仿宋" w:cs="仿宋"/>
          <w:color w:val="auto"/>
          <w:sz w:val="28"/>
          <w:szCs w:val="28"/>
        </w:rPr>
      </w:pPr>
    </w:p>
    <w:p w14:paraId="60A15395">
      <w:pPr>
        <w:pStyle w:val="7"/>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53DABCB2">
      <w:pPr>
        <w:pStyle w:val="7"/>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500461DE">
      <w:pPr>
        <w:pStyle w:val="7"/>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58062F08">
      <w:pPr>
        <w:pStyle w:val="7"/>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29CC5574">
      <w:pPr>
        <w:pStyle w:val="7"/>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0A734A0D">
      <w:pPr>
        <w:pStyle w:val="7"/>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58F7DABE">
      <w:pPr>
        <w:pStyle w:val="7"/>
        <w:keepNext w:val="0"/>
        <w:keepLines w:val="0"/>
        <w:pageBreakBefore w:val="0"/>
        <w:numPr>
          <w:ilvl w:val="0"/>
          <w:numId w:val="0"/>
        </w:numPr>
        <w:kinsoku w:val="0"/>
        <w:overflowPunct w:val="0"/>
        <w:topLinePunct w:val="0"/>
        <w:autoSpaceDE/>
        <w:autoSpaceDN/>
        <w:bidi w:val="0"/>
        <w:spacing w:before="130" w:line="440" w:lineRule="exact"/>
        <w:ind w:left="480" w:leftChars="0" w:right="7" w:rightChars="0"/>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、投标函</w:t>
      </w:r>
    </w:p>
    <w:p w14:paraId="6AA03B3E">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致：</w:t>
      </w:r>
      <w:r>
        <w:rPr>
          <w:rFonts w:hint="eastAsia" w:ascii="仿宋" w:hAnsi="仿宋" w:eastAsia="仿宋" w:cs="仿宋"/>
          <w:color w:val="auto"/>
          <w:kern w:val="0"/>
          <w:sz w:val="28"/>
          <w:szCs w:val="28"/>
          <w:u w:val="single"/>
        </w:rPr>
        <w:t xml:space="preserve">                     </w:t>
      </w:r>
    </w:p>
    <w:p w14:paraId="53207106">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为响应你方组织的</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项目的招标[项目编号为：</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]，我方愿参与投标。</w:t>
      </w:r>
    </w:p>
    <w:p w14:paraId="0203C78E">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我方确认收到贵方提供的</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u w:val="none"/>
          <w:lang w:eastAsia="zh-CN"/>
        </w:rPr>
        <w:t>谈判文件</w:t>
      </w:r>
      <w:r>
        <w:rPr>
          <w:rFonts w:hint="eastAsia" w:ascii="仿宋" w:hAnsi="仿宋" w:eastAsia="仿宋" w:cs="仿宋"/>
          <w:color w:val="auto"/>
          <w:kern w:val="0"/>
          <w:sz w:val="28"/>
          <w:szCs w:val="28"/>
        </w:rPr>
        <w:t>的全部内容。</w:t>
      </w:r>
    </w:p>
    <w:p w14:paraId="64EED8DE">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我方在参与投标前已详细研究了</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的所有内容，包括澄清、修改文件（如果有）和所有已提供的参考资料以及有关附件，我方完全明白并认为此</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没有倾向性，也不存在排斥潜在报价投标人的内容，我方同意</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的相关条款，放弃对</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提出误解和质疑的一切权力。</w:t>
      </w:r>
    </w:p>
    <w:p w14:paraId="63094E0E">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u w:val="single"/>
        </w:rPr>
        <w:t xml:space="preserve">      (投标人名称)      </w:t>
      </w:r>
      <w:r>
        <w:rPr>
          <w:rFonts w:hint="eastAsia" w:ascii="仿宋" w:hAnsi="仿宋" w:eastAsia="仿宋" w:cs="仿宋"/>
          <w:color w:val="auto"/>
          <w:kern w:val="0"/>
          <w:sz w:val="28"/>
          <w:szCs w:val="28"/>
        </w:rPr>
        <w:t>作为投标人正式授权</w:t>
      </w:r>
      <w:r>
        <w:rPr>
          <w:rFonts w:hint="eastAsia" w:ascii="仿宋" w:hAnsi="仿宋" w:eastAsia="仿宋" w:cs="仿宋"/>
          <w:color w:val="auto"/>
          <w:kern w:val="0"/>
          <w:sz w:val="28"/>
          <w:szCs w:val="28"/>
          <w:u w:val="single"/>
        </w:rPr>
        <w:t xml:space="preserve">  (授权代表全名, 职务)  </w:t>
      </w:r>
      <w:r>
        <w:rPr>
          <w:rFonts w:hint="eastAsia" w:ascii="仿宋" w:hAnsi="仿宋" w:eastAsia="仿宋" w:cs="仿宋"/>
          <w:color w:val="auto"/>
          <w:kern w:val="0"/>
          <w:sz w:val="28"/>
          <w:szCs w:val="28"/>
        </w:rPr>
        <w:t>代表我方全权处理有关本报价的一切事宜。</w:t>
      </w:r>
    </w:p>
    <w:p w14:paraId="2C891EAA">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我方已完全明白</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的所有条款要求，并申明如下：</w:t>
      </w:r>
    </w:p>
    <w:p w14:paraId="49F85571">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（一）按</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提供的全部货物与相关服务的投标总价详见《报价一览表》。</w:t>
      </w:r>
    </w:p>
    <w:p w14:paraId="6328CC52">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（二）本</w:t>
      </w:r>
      <w:r>
        <w:rPr>
          <w:rFonts w:hint="eastAsia" w:ascii="仿宋" w:hAnsi="仿宋" w:eastAsia="仿宋" w:cs="仿宋"/>
          <w:color w:val="auto"/>
          <w:kern w:val="0"/>
          <w:sz w:val="28"/>
          <w:szCs w:val="28"/>
          <w:lang w:eastAsia="zh-CN"/>
        </w:rPr>
        <w:t>响应文件</w:t>
      </w:r>
      <w:r>
        <w:rPr>
          <w:rFonts w:hint="eastAsia" w:ascii="仿宋" w:hAnsi="仿宋" w:eastAsia="仿宋" w:cs="仿宋"/>
          <w:color w:val="auto"/>
          <w:kern w:val="0"/>
          <w:sz w:val="28"/>
          <w:szCs w:val="28"/>
        </w:rPr>
        <w:t>的有效期为投标截止时间起</w:t>
      </w:r>
      <w:r>
        <w:rPr>
          <w:rFonts w:hint="eastAsia" w:ascii="仿宋" w:hAnsi="仿宋" w:eastAsia="仿宋" w:cs="仿宋"/>
          <w:color w:val="auto"/>
          <w:kern w:val="0"/>
          <w:sz w:val="28"/>
          <w:szCs w:val="28"/>
          <w:u w:val="single"/>
          <w:lang w:val="en-US" w:eastAsia="zh-CN"/>
        </w:rPr>
        <w:t>90</w:t>
      </w:r>
      <w:r>
        <w:rPr>
          <w:rFonts w:hint="eastAsia" w:ascii="仿宋" w:hAnsi="仿宋" w:eastAsia="仿宋" w:cs="仿宋"/>
          <w:color w:val="auto"/>
          <w:kern w:val="0"/>
          <w:sz w:val="28"/>
          <w:szCs w:val="28"/>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5DCE02F4">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（三）我方同意按照贵方可能提出的要求而提供与投标有关的任何其它数据、信息或资料。</w:t>
      </w:r>
    </w:p>
    <w:p w14:paraId="10CAC262">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四</w:t>
      </w:r>
      <w:r>
        <w:rPr>
          <w:rFonts w:hint="eastAsia" w:ascii="仿宋" w:hAnsi="仿宋" w:eastAsia="仿宋" w:cs="仿宋"/>
          <w:color w:val="auto"/>
          <w:kern w:val="0"/>
          <w:sz w:val="28"/>
          <w:szCs w:val="28"/>
        </w:rPr>
        <w:t>）我方理解贵方不一定接受最低投标价或任何贵方可能收到的投标。</w:t>
      </w:r>
    </w:p>
    <w:p w14:paraId="7C910C40">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五</w:t>
      </w:r>
      <w:r>
        <w:rPr>
          <w:rFonts w:hint="eastAsia" w:ascii="仿宋" w:hAnsi="仿宋" w:eastAsia="仿宋" w:cs="仿宋"/>
          <w:color w:val="auto"/>
          <w:kern w:val="0"/>
          <w:sz w:val="28"/>
          <w:szCs w:val="28"/>
        </w:rPr>
        <w:t>）我方如果中标，将保证履行</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及其澄清、修改文件（如果有）中的全部责任和义务，按质、按量、按期完成《招标内容》及《合同书》中的全部任务。</w:t>
      </w:r>
    </w:p>
    <w:p w14:paraId="134E12E5">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六</w:t>
      </w:r>
      <w:r>
        <w:rPr>
          <w:rFonts w:hint="eastAsia" w:ascii="仿宋" w:hAnsi="仿宋" w:eastAsia="仿宋" w:cs="仿宋"/>
          <w:color w:val="auto"/>
          <w:kern w:val="0"/>
          <w:sz w:val="28"/>
          <w:szCs w:val="28"/>
        </w:rPr>
        <w:t>）如我方被授予合同，我方承诺支付就本次招标应支付或将支付的中标服务费（详见按</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要求格式填写的《中标服务费支付承诺书》）。</w:t>
      </w:r>
    </w:p>
    <w:p w14:paraId="60CFEF26">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七</w:t>
      </w:r>
      <w:r>
        <w:rPr>
          <w:rFonts w:hint="eastAsia" w:ascii="仿宋" w:hAnsi="仿宋" w:eastAsia="仿宋" w:cs="仿宋"/>
          <w:color w:val="auto"/>
          <w:kern w:val="0"/>
          <w:sz w:val="28"/>
          <w:szCs w:val="28"/>
        </w:rPr>
        <w:t>）我方作为在法律、财务和运作上独立于采购人、招标代理机构的投标人，在此保证所提交的所有文件和全部说明是真实的和正确的。</w:t>
      </w:r>
    </w:p>
    <w:p w14:paraId="222DB668">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八</w:t>
      </w:r>
      <w:r>
        <w:rPr>
          <w:rFonts w:hint="eastAsia" w:ascii="仿宋" w:hAnsi="仿宋" w:eastAsia="仿宋" w:cs="仿宋"/>
          <w:color w:val="auto"/>
          <w:kern w:val="0"/>
          <w:sz w:val="28"/>
          <w:szCs w:val="28"/>
        </w:rPr>
        <w:t>）我方投标报价已包含应向知识产权所有权人支付的所有相关税费，并保证采购人在中国使用我方提供的货物时，如有第三方提出侵犯其知识产权主张的，责任由我方承担。</w:t>
      </w:r>
    </w:p>
    <w:p w14:paraId="4CE5A2EB">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九</w:t>
      </w:r>
      <w:r>
        <w:rPr>
          <w:rFonts w:hint="eastAsia" w:ascii="仿宋" w:hAnsi="仿宋" w:eastAsia="仿宋" w:cs="仿宋"/>
          <w:color w:val="auto"/>
          <w:kern w:val="0"/>
          <w:sz w:val="28"/>
          <w:szCs w:val="28"/>
        </w:rPr>
        <w:t>）我方与其他投标人不存在单位负责人为同一人或者存在直接控股、管理关系。</w:t>
      </w:r>
    </w:p>
    <w:p w14:paraId="09798DAB">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（十）我方承诺未为本项目提供整体设计、规范编制或者项目管理、监理、检测等服务。</w:t>
      </w:r>
    </w:p>
    <w:p w14:paraId="1CE8E110">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（十</w:t>
      </w:r>
      <w:r>
        <w:rPr>
          <w:rFonts w:hint="eastAsia" w:ascii="仿宋" w:hAnsi="仿宋" w:eastAsia="仿宋" w:cs="仿宋"/>
          <w:color w:val="auto"/>
          <w:kern w:val="0"/>
          <w:sz w:val="28"/>
          <w:szCs w:val="28"/>
          <w:lang w:eastAsia="zh-CN"/>
        </w:rPr>
        <w:t>一</w:t>
      </w:r>
      <w:r>
        <w:rPr>
          <w:rFonts w:hint="eastAsia" w:ascii="仿宋" w:hAnsi="仿宋" w:eastAsia="仿宋" w:cs="仿宋"/>
          <w:color w:val="auto"/>
          <w:kern w:val="0"/>
          <w:sz w:val="28"/>
          <w:szCs w:val="28"/>
        </w:rPr>
        <w:t>）我方具备《政府采购法》第二十二条规定的条件，承诺如下：</w:t>
      </w:r>
    </w:p>
    <w:p w14:paraId="5953ABCC">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（1）我方已依法缴纳了各项税费及社会保险费用，如有需要，可随时向采购人提供近三个月内的相关缴费证明，以便核查。</w:t>
      </w:r>
    </w:p>
    <w:p w14:paraId="2FCE829D">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（2）我方已依法建立健全的财务会计制度，如有需要，可随时向采购人提供相关的证明材料，以便核查。</w:t>
      </w:r>
    </w:p>
    <w:p w14:paraId="045DEF1F">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（3）我方参加本项目政府采购活动前3年内在经营活动中没有重大违法记录。</w:t>
      </w:r>
    </w:p>
    <w:p w14:paraId="4C435EA2">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（4）我方具备履行合同所必需的设备和专业技术能力。</w:t>
      </w:r>
    </w:p>
    <w:p w14:paraId="67C3C4F1">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（5）我方符合法律、行政法规规定的其他条件。</w:t>
      </w:r>
    </w:p>
    <w:p w14:paraId="0B8ADC14">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以上内容如有虚假或与事实不符的，评审委员会可将我方做无效投标处理，我方愿意承担相应的法律责任。</w:t>
      </w:r>
    </w:p>
    <w:p w14:paraId="266EB49E">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（十三）我方对在本函及</w:t>
      </w:r>
      <w:r>
        <w:rPr>
          <w:rFonts w:hint="eastAsia" w:ascii="仿宋" w:hAnsi="仿宋" w:eastAsia="仿宋" w:cs="仿宋"/>
          <w:color w:val="auto"/>
          <w:kern w:val="0"/>
          <w:sz w:val="28"/>
          <w:szCs w:val="28"/>
          <w:lang w:eastAsia="zh-CN"/>
        </w:rPr>
        <w:t>响应文件</w:t>
      </w:r>
      <w:r>
        <w:rPr>
          <w:rFonts w:hint="eastAsia" w:ascii="仿宋" w:hAnsi="仿宋" w:eastAsia="仿宋" w:cs="仿宋"/>
          <w:color w:val="auto"/>
          <w:kern w:val="0"/>
          <w:sz w:val="28"/>
          <w:szCs w:val="28"/>
        </w:rPr>
        <w:t>中所作的所有承诺承担法律责任。</w:t>
      </w:r>
    </w:p>
    <w:p w14:paraId="608DE9B8">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（十四）所有与本招标有关的函件请发往下列地址：</w:t>
      </w:r>
    </w:p>
    <w:p w14:paraId="08CF87D2">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地    址：</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u w:val="single"/>
          <w:lang w:val="en-US" w:eastAsia="zh-CN"/>
        </w:rPr>
        <w:t xml:space="preserve"> </w:t>
      </w:r>
      <w:r>
        <w:rPr>
          <w:rFonts w:hint="eastAsia" w:ascii="仿宋" w:hAnsi="仿宋" w:eastAsia="仿宋" w:cs="仿宋"/>
          <w:color w:val="auto"/>
          <w:kern w:val="0"/>
          <w:sz w:val="28"/>
          <w:szCs w:val="28"/>
        </w:rPr>
        <w:t>.</w:t>
      </w:r>
    </w:p>
    <w:p w14:paraId="765968E0">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邮政编码：</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14:paraId="7F4F4661">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电    话：</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14:paraId="76F62CF6">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传    真：</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14:paraId="68405D72">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代表姓名：</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u w:val="single"/>
          <w:lang w:val="en-US" w:eastAsia="zh-CN"/>
        </w:rPr>
        <w:t xml:space="preserve">   </w:t>
      </w:r>
      <w:r>
        <w:rPr>
          <w:rFonts w:hint="eastAsia" w:ascii="仿宋" w:hAnsi="仿宋" w:eastAsia="仿宋" w:cs="仿宋"/>
          <w:color w:val="auto"/>
          <w:kern w:val="0"/>
          <w:sz w:val="28"/>
          <w:szCs w:val="28"/>
        </w:rPr>
        <w:t xml:space="preserve">.   </w:t>
      </w:r>
    </w:p>
    <w:p w14:paraId="7090A9D5">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 xml:space="preserve"> 职务：</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14:paraId="73F949B9">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投标人：</w:t>
      </w:r>
      <w:r>
        <w:rPr>
          <w:rFonts w:hint="eastAsia" w:ascii="仿宋" w:hAnsi="仿宋" w:eastAsia="仿宋" w:cs="仿宋"/>
          <w:color w:val="auto"/>
          <w:kern w:val="0"/>
          <w:sz w:val="28"/>
          <w:szCs w:val="28"/>
          <w:u w:val="single"/>
        </w:rPr>
        <w:tab/>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（公章） </w:t>
      </w:r>
    </w:p>
    <w:p w14:paraId="54ABF1F9">
      <w:pPr>
        <w:keepNext w:val="0"/>
        <w:keepLines w:val="0"/>
        <w:pageBreakBefore w:val="0"/>
        <w:widowControl w:val="0"/>
        <w:wordWrap w:val="0"/>
        <w:topLinePunct w:val="0"/>
        <w:autoSpaceDE/>
        <w:autoSpaceDN/>
        <w:bidi w:val="0"/>
        <w:adjustRightInd/>
        <w:snapToGrid/>
        <w:spacing w:line="440" w:lineRule="exact"/>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法定代表人或委托人：</w:t>
      </w:r>
      <w:r>
        <w:rPr>
          <w:rFonts w:hint="eastAsia" w:ascii="仿宋" w:hAnsi="仿宋" w:eastAsia="仿宋" w:cs="仿宋"/>
          <w:color w:val="auto"/>
          <w:kern w:val="0"/>
          <w:sz w:val="28"/>
          <w:szCs w:val="28"/>
        </w:rPr>
        <w:tab/>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签字或盖章</w:t>
      </w:r>
      <w:r>
        <w:rPr>
          <w:rFonts w:hint="eastAsia" w:ascii="仿宋" w:hAnsi="仿宋" w:eastAsia="仿宋" w:cs="仿宋"/>
          <w:color w:val="auto"/>
          <w:kern w:val="0"/>
          <w:sz w:val="28"/>
          <w:szCs w:val="28"/>
        </w:rPr>
        <w:t xml:space="preserve">）  </w:t>
      </w:r>
    </w:p>
    <w:p w14:paraId="2F845A95">
      <w:pPr>
        <w:keepNext w:val="0"/>
        <w:keepLines w:val="0"/>
        <w:pageBreakBefore w:val="0"/>
        <w:widowControl w:val="0"/>
        <w:wordWrap w:val="0"/>
        <w:topLinePunct w:val="0"/>
        <w:autoSpaceDE/>
        <w:autoSpaceDN/>
        <w:bidi w:val="0"/>
        <w:adjustRightInd/>
        <w:snapToGrid/>
        <w:spacing w:line="440" w:lineRule="exact"/>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u w:val="single"/>
        </w:rPr>
        <w:tab/>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rPr>
        <w:tab/>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日</w:t>
      </w:r>
    </w:p>
    <w:p w14:paraId="6A7089F4">
      <w:pPr>
        <w:pStyle w:val="24"/>
        <w:keepNext w:val="0"/>
        <w:keepLines w:val="0"/>
        <w:pageBreakBefore w:val="0"/>
        <w:topLinePunct w:val="0"/>
        <w:autoSpaceDE/>
        <w:autoSpaceDN/>
        <w:bidi w:val="0"/>
        <w:spacing w:line="44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rPr>
        <w:br w:type="page"/>
      </w:r>
    </w:p>
    <w:p w14:paraId="52CF2D74">
      <w:pPr>
        <w:pStyle w:val="5"/>
        <w:shd w:val="clear" w:color="auto" w:fill="auto"/>
        <w:tabs>
          <w:tab w:val="left" w:pos="5580"/>
        </w:tabs>
        <w:spacing w:line="240" w:lineRule="atLeast"/>
        <w:ind w:firstLine="2641" w:firstLineChars="927"/>
        <w:jc w:val="both"/>
        <w:rPr>
          <w:rFonts w:hint="eastAsia" w:ascii="仿宋" w:hAnsi="仿宋" w:eastAsia="仿宋" w:cs="仿宋"/>
          <w:color w:val="auto"/>
          <w:sz w:val="28"/>
          <w:szCs w:val="28"/>
          <w:highlight w:val="none"/>
        </w:rPr>
      </w:pPr>
      <w:r>
        <w:rPr>
          <w:rFonts w:hint="eastAsia" w:ascii="仿宋" w:hAnsi="仿宋" w:eastAsia="仿宋" w:cs="仿宋"/>
          <w:b/>
          <w:bCs w:val="0"/>
          <w:color w:val="auto"/>
          <w:sz w:val="28"/>
          <w:szCs w:val="28"/>
          <w:highlight w:val="none"/>
          <w:lang w:val="en-US" w:eastAsia="zh-CN"/>
        </w:rPr>
        <w:t>2</w:t>
      </w:r>
      <w:r>
        <w:rPr>
          <w:rFonts w:hint="eastAsia" w:ascii="仿宋" w:hAnsi="仿宋" w:eastAsia="仿宋" w:cs="仿宋"/>
          <w:b/>
          <w:bCs w:val="0"/>
          <w:color w:val="auto"/>
          <w:sz w:val="28"/>
          <w:szCs w:val="28"/>
          <w:highlight w:val="none"/>
          <w:lang w:eastAsia="zh-CN"/>
        </w:rPr>
        <w:t>、</w:t>
      </w:r>
      <w:r>
        <w:rPr>
          <w:rFonts w:hint="eastAsia" w:ascii="仿宋" w:hAnsi="仿宋" w:eastAsia="仿宋" w:cs="仿宋"/>
          <w:b/>
          <w:bCs w:val="0"/>
          <w:color w:val="auto"/>
          <w:sz w:val="28"/>
          <w:szCs w:val="28"/>
          <w:highlight w:val="none"/>
        </w:rPr>
        <w:t>开标一览表</w:t>
      </w:r>
      <w:r>
        <w:rPr>
          <w:rFonts w:hint="eastAsia" w:ascii="仿宋" w:hAnsi="仿宋" w:eastAsia="仿宋" w:cs="仿宋"/>
          <w:b w:val="0"/>
          <w:bCs/>
          <w:color w:val="auto"/>
          <w:sz w:val="28"/>
          <w:szCs w:val="28"/>
          <w:highlight w:val="none"/>
        </w:rPr>
        <w:cr/>
      </w:r>
    </w:p>
    <w:p w14:paraId="31AFD866">
      <w:pPr>
        <w:shd w:val="clear" w:color="auto" w:fill="auto"/>
        <w:adjustRightInd w:val="0"/>
        <w:snapToGrid w:val="0"/>
        <w:spacing w:line="500" w:lineRule="exac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招标项目名称： </w:t>
      </w:r>
      <w:r>
        <w:rPr>
          <w:rFonts w:hint="eastAsia" w:ascii="仿宋" w:hAnsi="仿宋" w:eastAsia="仿宋" w:cs="仿宋"/>
          <w:color w:val="auto"/>
          <w:sz w:val="28"/>
          <w:szCs w:val="28"/>
          <w:highlight w:val="none"/>
          <w:u w:val="single"/>
        </w:rPr>
        <w:t xml:space="preserve">                         </w:t>
      </w:r>
    </w:p>
    <w:p w14:paraId="195228F8">
      <w:pPr>
        <w:shd w:val="clear" w:color="auto" w:fill="auto"/>
        <w:adjustRightInd w:val="0"/>
        <w:snapToGrid w:val="0"/>
        <w:spacing w:line="500" w:lineRule="exact"/>
        <w:rPr>
          <w:rFonts w:hint="eastAsia" w:ascii="仿宋" w:hAnsi="仿宋" w:eastAsia="仿宋" w:cs="仿宋"/>
          <w:i/>
          <w:iCs/>
          <w:color w:val="auto"/>
          <w:sz w:val="28"/>
          <w:szCs w:val="28"/>
          <w:highlight w:val="none"/>
        </w:rPr>
      </w:pPr>
      <w:r>
        <w:rPr>
          <w:rFonts w:hint="eastAsia" w:ascii="仿宋" w:hAnsi="仿宋" w:eastAsia="仿宋" w:cs="仿宋"/>
          <w:color w:val="auto"/>
          <w:sz w:val="28"/>
          <w:szCs w:val="28"/>
          <w:highlight w:val="none"/>
        </w:rPr>
        <w:t>招标项目编号：</w:t>
      </w:r>
      <w:r>
        <w:rPr>
          <w:rFonts w:hint="eastAsia" w:ascii="仿宋" w:hAnsi="仿宋" w:eastAsia="仿宋" w:cs="仿宋"/>
          <w:i/>
          <w:iCs/>
          <w:color w:val="auto"/>
          <w:sz w:val="28"/>
          <w:szCs w:val="28"/>
          <w:highlight w:val="none"/>
        </w:rPr>
        <w:t xml:space="preserve"> </w:t>
      </w:r>
      <w:r>
        <w:rPr>
          <w:rFonts w:hint="eastAsia" w:ascii="仿宋" w:hAnsi="仿宋" w:eastAsia="仿宋" w:cs="仿宋"/>
          <w:color w:val="auto"/>
          <w:sz w:val="28"/>
          <w:szCs w:val="28"/>
          <w:highlight w:val="none"/>
          <w:u w:val="single"/>
        </w:rPr>
        <w:t xml:space="preserve">                         </w:t>
      </w:r>
    </w:p>
    <w:p w14:paraId="6C92C21D">
      <w:pPr>
        <w:shd w:val="clear" w:color="auto" w:fill="auto"/>
        <w:spacing w:line="50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单位：元（人民币）</w:t>
      </w:r>
    </w:p>
    <w:tbl>
      <w:tblPr>
        <w:tblStyle w:val="17"/>
        <w:tblW w:w="8780"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974"/>
        <w:gridCol w:w="6185"/>
      </w:tblGrid>
      <w:tr w14:paraId="758C3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2595" w:type="dxa"/>
            <w:gridSpan w:val="2"/>
            <w:noWrap w:val="0"/>
            <w:vAlign w:val="center"/>
          </w:tcPr>
          <w:p w14:paraId="5651999E">
            <w:pPr>
              <w:shd w:val="clear" w:color="auto" w:fill="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投标项目名称</w:t>
            </w:r>
          </w:p>
        </w:tc>
        <w:tc>
          <w:tcPr>
            <w:tcW w:w="6185" w:type="dxa"/>
            <w:noWrap w:val="0"/>
            <w:vAlign w:val="center"/>
          </w:tcPr>
          <w:p w14:paraId="4CD92A08">
            <w:pPr>
              <w:shd w:val="clear" w:color="auto" w:fill="auto"/>
              <w:rPr>
                <w:rFonts w:hint="eastAsia" w:ascii="仿宋" w:hAnsi="仿宋" w:eastAsia="仿宋" w:cs="仿宋"/>
                <w:color w:val="auto"/>
                <w:sz w:val="28"/>
                <w:szCs w:val="28"/>
                <w:highlight w:val="none"/>
              </w:rPr>
            </w:pPr>
          </w:p>
        </w:tc>
      </w:tr>
      <w:tr w14:paraId="73E08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atLeast"/>
        </w:trPr>
        <w:tc>
          <w:tcPr>
            <w:tcW w:w="2595" w:type="dxa"/>
            <w:gridSpan w:val="2"/>
            <w:noWrap w:val="0"/>
            <w:vAlign w:val="center"/>
          </w:tcPr>
          <w:p w14:paraId="5C94F962">
            <w:pPr>
              <w:shd w:val="clear" w:color="auto" w:fill="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供货期</w:t>
            </w:r>
            <w:r>
              <w:rPr>
                <w:rFonts w:hint="eastAsia" w:ascii="仿宋" w:hAnsi="仿宋" w:eastAsia="仿宋" w:cs="仿宋"/>
                <w:color w:val="auto"/>
                <w:sz w:val="28"/>
                <w:szCs w:val="28"/>
                <w:highlight w:val="none"/>
                <w:lang w:eastAsia="zh-CN"/>
              </w:rPr>
              <w:t>（天）</w:t>
            </w:r>
          </w:p>
        </w:tc>
        <w:tc>
          <w:tcPr>
            <w:tcW w:w="6185" w:type="dxa"/>
            <w:noWrap w:val="0"/>
            <w:vAlign w:val="center"/>
          </w:tcPr>
          <w:p w14:paraId="17FAEEEC">
            <w:pPr>
              <w:shd w:val="clear" w:color="auto" w:fill="auto"/>
              <w:jc w:val="center"/>
              <w:rPr>
                <w:rFonts w:hint="eastAsia" w:ascii="仿宋" w:hAnsi="仿宋" w:eastAsia="仿宋" w:cs="仿宋"/>
                <w:color w:val="auto"/>
                <w:sz w:val="28"/>
                <w:szCs w:val="28"/>
                <w:highlight w:val="none"/>
              </w:rPr>
            </w:pPr>
          </w:p>
        </w:tc>
      </w:tr>
      <w:tr w14:paraId="51964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2595" w:type="dxa"/>
            <w:gridSpan w:val="2"/>
            <w:tcBorders>
              <w:top w:val="single" w:color="auto" w:sz="4" w:space="0"/>
            </w:tcBorders>
            <w:noWrap w:val="0"/>
            <w:vAlign w:val="center"/>
          </w:tcPr>
          <w:p w14:paraId="71E7A31E">
            <w:pPr>
              <w:shd w:val="clear" w:color="auto" w:fill="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投标有效期</w:t>
            </w:r>
          </w:p>
        </w:tc>
        <w:tc>
          <w:tcPr>
            <w:tcW w:w="6185" w:type="dxa"/>
            <w:noWrap w:val="0"/>
            <w:vAlign w:val="center"/>
          </w:tcPr>
          <w:p w14:paraId="5FD73B10">
            <w:pPr>
              <w:shd w:val="clear" w:color="auto" w:fill="auto"/>
              <w:jc w:val="center"/>
              <w:rPr>
                <w:rFonts w:hint="eastAsia" w:ascii="仿宋" w:hAnsi="仿宋" w:eastAsia="仿宋" w:cs="仿宋"/>
                <w:color w:val="auto"/>
                <w:sz w:val="28"/>
                <w:szCs w:val="28"/>
                <w:highlight w:val="none"/>
                <w:lang w:val="en-US" w:eastAsia="zh-CN"/>
              </w:rPr>
            </w:pPr>
          </w:p>
        </w:tc>
      </w:tr>
      <w:tr w14:paraId="7396F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restart"/>
            <w:noWrap w:val="0"/>
            <w:vAlign w:val="center"/>
          </w:tcPr>
          <w:p w14:paraId="0E51BB78">
            <w:pPr>
              <w:shd w:val="clear" w:color="auto" w:fill="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投标报价</w:t>
            </w:r>
          </w:p>
          <w:p w14:paraId="14DC073F">
            <w:pPr>
              <w:shd w:val="clear" w:color="auto" w:fill="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（人民币）</w:t>
            </w:r>
          </w:p>
        </w:tc>
        <w:tc>
          <w:tcPr>
            <w:tcW w:w="974" w:type="dxa"/>
            <w:tcBorders>
              <w:top w:val="single" w:color="auto" w:sz="4" w:space="0"/>
              <w:bottom w:val="single" w:color="auto" w:sz="4" w:space="0"/>
            </w:tcBorders>
            <w:noWrap w:val="0"/>
            <w:vAlign w:val="center"/>
          </w:tcPr>
          <w:p w14:paraId="51B1AE5B">
            <w:pPr>
              <w:widowControl/>
              <w:shd w:val="clear" w:color="auto" w:fill="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小写</w:t>
            </w:r>
          </w:p>
        </w:tc>
        <w:tc>
          <w:tcPr>
            <w:tcW w:w="6185" w:type="dxa"/>
            <w:noWrap w:val="0"/>
            <w:vAlign w:val="center"/>
          </w:tcPr>
          <w:p w14:paraId="2AF0C782">
            <w:pPr>
              <w:shd w:val="clear" w:color="auto" w:fill="auto"/>
              <w:jc w:val="center"/>
              <w:rPr>
                <w:rFonts w:hint="eastAsia" w:ascii="仿宋" w:hAnsi="仿宋" w:eastAsia="仿宋" w:cs="仿宋"/>
                <w:color w:val="auto"/>
                <w:sz w:val="28"/>
                <w:szCs w:val="28"/>
                <w:highlight w:val="none"/>
                <w:lang w:val="en-US" w:eastAsia="zh-CN"/>
              </w:rPr>
            </w:pPr>
          </w:p>
        </w:tc>
      </w:tr>
      <w:tr w14:paraId="7B748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continue"/>
            <w:noWrap w:val="0"/>
            <w:vAlign w:val="center"/>
          </w:tcPr>
          <w:p w14:paraId="16963DD6">
            <w:pPr>
              <w:shd w:val="clear" w:color="auto" w:fill="auto"/>
              <w:jc w:val="center"/>
              <w:rPr>
                <w:rFonts w:hint="eastAsia" w:ascii="仿宋" w:hAnsi="仿宋" w:eastAsia="仿宋" w:cs="仿宋"/>
                <w:color w:val="auto"/>
                <w:sz w:val="28"/>
                <w:szCs w:val="28"/>
                <w:highlight w:val="none"/>
              </w:rPr>
            </w:pPr>
          </w:p>
        </w:tc>
        <w:tc>
          <w:tcPr>
            <w:tcW w:w="974" w:type="dxa"/>
            <w:tcBorders>
              <w:top w:val="single" w:color="auto" w:sz="4" w:space="0"/>
              <w:bottom w:val="single" w:color="auto" w:sz="4" w:space="0"/>
            </w:tcBorders>
            <w:noWrap w:val="0"/>
            <w:vAlign w:val="center"/>
          </w:tcPr>
          <w:p w14:paraId="55CB9F45">
            <w:pPr>
              <w:widowControl/>
              <w:shd w:val="clear" w:color="auto" w:fill="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大写</w:t>
            </w:r>
          </w:p>
        </w:tc>
        <w:tc>
          <w:tcPr>
            <w:tcW w:w="6185" w:type="dxa"/>
            <w:noWrap w:val="0"/>
            <w:vAlign w:val="center"/>
          </w:tcPr>
          <w:p w14:paraId="662F3121">
            <w:pPr>
              <w:shd w:val="clear" w:color="auto" w:fill="auto"/>
              <w:jc w:val="center"/>
              <w:rPr>
                <w:rFonts w:hint="eastAsia" w:ascii="仿宋" w:hAnsi="仿宋" w:eastAsia="仿宋" w:cs="仿宋"/>
                <w:color w:val="auto"/>
                <w:sz w:val="28"/>
                <w:szCs w:val="28"/>
                <w:highlight w:val="none"/>
              </w:rPr>
            </w:pPr>
          </w:p>
        </w:tc>
      </w:tr>
    </w:tbl>
    <w:p w14:paraId="3303D473">
      <w:pPr>
        <w:shd w:val="clear" w:color="auto" w:fill="auto"/>
        <w:spacing w:line="500" w:lineRule="exact"/>
        <w:ind w:firstLine="557" w:firstLineChars="19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填写说明：</w:t>
      </w:r>
    </w:p>
    <w:p w14:paraId="01FB4E85">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.开标时，本表中的内容与</w:t>
      </w:r>
      <w:r>
        <w:rPr>
          <w:rFonts w:hint="eastAsia" w:ascii="仿宋" w:hAnsi="仿宋" w:eastAsia="仿宋" w:cs="仿宋"/>
          <w:color w:val="auto"/>
          <w:sz w:val="28"/>
          <w:szCs w:val="28"/>
          <w:highlight w:val="none"/>
          <w:lang w:eastAsia="zh-CN"/>
        </w:rPr>
        <w:t>响应文件</w:t>
      </w:r>
      <w:r>
        <w:rPr>
          <w:rFonts w:hint="eastAsia" w:ascii="仿宋" w:hAnsi="仿宋" w:eastAsia="仿宋" w:cs="仿宋"/>
          <w:color w:val="auto"/>
          <w:sz w:val="28"/>
          <w:szCs w:val="28"/>
          <w:highlight w:val="none"/>
        </w:rPr>
        <w:t>中的投标函、货物价格明细表及分项价格表的内容不一致的，以本表为准；大写金额与小写金额不一致的，以大写金额为准；总价金额与按单价汇总金额不一致的，以单价金额计算结果为准；单价金额小数点有明显错位的，应以总价为准，并修改单价。</w:t>
      </w:r>
    </w:p>
    <w:p w14:paraId="6FF9E5CB">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.投标总价为招标范围所列全部招标项目的报价总和，并应与投标报价明细表及分项价格表保持一致。</w:t>
      </w:r>
    </w:p>
    <w:p w14:paraId="3CD8FE34">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.必须在</w:t>
      </w:r>
      <w:r>
        <w:rPr>
          <w:rFonts w:hint="eastAsia" w:ascii="仿宋" w:hAnsi="仿宋" w:eastAsia="仿宋" w:cs="仿宋"/>
          <w:color w:val="auto"/>
          <w:sz w:val="28"/>
          <w:szCs w:val="28"/>
          <w:highlight w:val="none"/>
          <w:lang w:eastAsia="zh-CN"/>
        </w:rPr>
        <w:t>响应文件</w:t>
      </w:r>
      <w:r>
        <w:rPr>
          <w:rFonts w:hint="eastAsia" w:ascii="仿宋" w:hAnsi="仿宋" w:eastAsia="仿宋" w:cs="仿宋"/>
          <w:color w:val="auto"/>
          <w:sz w:val="28"/>
          <w:szCs w:val="28"/>
          <w:highlight w:val="none"/>
        </w:rPr>
        <w:t>中装订。</w:t>
      </w:r>
    </w:p>
    <w:p w14:paraId="142AAF5C">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.投标报价不得填报选择性报价。</w:t>
      </w:r>
    </w:p>
    <w:p w14:paraId="00BD578E">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投标人名称：</w:t>
      </w:r>
      <w:r>
        <w:rPr>
          <w:rFonts w:hint="eastAsia" w:ascii="仿宋" w:hAnsi="仿宋" w:eastAsia="仿宋" w:cs="仿宋"/>
          <w:color w:val="auto"/>
          <w:sz w:val="28"/>
          <w:szCs w:val="28"/>
          <w:highlight w:val="none"/>
          <w:u w:val="single"/>
        </w:rPr>
        <w:t xml:space="preserve">    （加盖公章）     </w:t>
      </w:r>
      <w:r>
        <w:rPr>
          <w:rFonts w:hint="eastAsia" w:ascii="仿宋" w:hAnsi="仿宋" w:eastAsia="仿宋" w:cs="仿宋"/>
          <w:color w:val="auto"/>
          <w:sz w:val="28"/>
          <w:szCs w:val="28"/>
          <w:highlight w:val="none"/>
        </w:rPr>
        <w:t xml:space="preserve">       </w:t>
      </w:r>
    </w:p>
    <w:p w14:paraId="42BDA2EF">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法定代表人签字或盖章：</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16CB4B46">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授权代表签字或盖章：</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7E0034B5">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签署日期：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月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1666AAB1">
      <w:pPr>
        <w:rPr>
          <w:rFonts w:hint="eastAsia" w:ascii="仿宋" w:hAnsi="仿宋" w:eastAsia="仿宋" w:cs="仿宋"/>
          <w:color w:val="auto"/>
          <w:sz w:val="28"/>
          <w:szCs w:val="28"/>
          <w:lang w:val="en-US" w:eastAsia="zh-CN"/>
        </w:rPr>
      </w:pPr>
    </w:p>
    <w:p w14:paraId="608E1AB6">
      <w:pPr>
        <w:pStyle w:val="26"/>
        <w:keepNext/>
        <w:keepLines/>
        <w:widowControl w:val="0"/>
        <w:numPr>
          <w:ilvl w:val="0"/>
          <w:numId w:val="0"/>
        </w:numPr>
        <w:shd w:val="clear" w:color="auto" w:fill="auto"/>
        <w:bidi w:val="0"/>
        <w:spacing w:before="0" w:after="220" w:line="240" w:lineRule="auto"/>
        <w:ind w:right="0" w:rightChars="0"/>
        <w:jc w:val="center"/>
        <w:rPr>
          <w:rFonts w:hint="eastAsia" w:ascii="仿宋" w:hAnsi="仿宋" w:eastAsia="仿宋" w:cs="仿宋"/>
          <w:b/>
          <w:bCs/>
          <w:color w:val="auto"/>
          <w:spacing w:val="0"/>
          <w:w w:val="100"/>
          <w:position w:val="0"/>
          <w:sz w:val="28"/>
          <w:szCs w:val="28"/>
          <w:lang w:val="en-US" w:eastAsia="zh-CN"/>
        </w:rPr>
      </w:pPr>
      <w:r>
        <w:rPr>
          <w:rFonts w:hint="eastAsia" w:ascii="仿宋" w:hAnsi="仿宋" w:eastAsia="仿宋" w:cs="仿宋"/>
          <w:b/>
          <w:bCs/>
          <w:color w:val="auto"/>
          <w:spacing w:val="0"/>
          <w:w w:val="100"/>
          <w:position w:val="0"/>
          <w:sz w:val="28"/>
          <w:szCs w:val="28"/>
          <w:lang w:val="en-US" w:eastAsia="zh-CN"/>
        </w:rPr>
        <w:t>3、货物说明一览表</w:t>
      </w:r>
    </w:p>
    <w:p w14:paraId="5437C1D7">
      <w:pPr>
        <w:pStyle w:val="9"/>
        <w:shd w:val="clear" w:color="auto" w:fill="auto"/>
        <w:spacing w:line="240" w:lineRule="atLeast"/>
        <w:ind w:left="1169" w:leftChars="257" w:hanging="540"/>
        <w:rPr>
          <w:rFonts w:hint="eastAsia" w:ascii="仿宋" w:hAnsi="仿宋" w:eastAsia="仿宋" w:cs="仿宋"/>
          <w:color w:val="auto"/>
          <w:sz w:val="28"/>
          <w:szCs w:val="28"/>
          <w:highlight w:val="none"/>
        </w:rPr>
      </w:pPr>
    </w:p>
    <w:p w14:paraId="1B9D020F">
      <w:pPr>
        <w:pStyle w:val="9"/>
        <w:shd w:val="clear" w:color="auto" w:fill="auto"/>
        <w:spacing w:line="240" w:lineRule="atLeast"/>
        <w:ind w:left="1169" w:leftChars="257" w:hanging="54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项目名称:                           </w:t>
      </w:r>
    </w:p>
    <w:p w14:paraId="71CF8EFE">
      <w:pPr>
        <w:pStyle w:val="9"/>
        <w:shd w:val="clear" w:color="auto" w:fill="auto"/>
        <w:spacing w:line="240" w:lineRule="atLeast"/>
        <w:ind w:left="1169" w:leftChars="257" w:hanging="54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招标编号:                                             </w:t>
      </w:r>
    </w:p>
    <w:p w14:paraId="74A04D7D">
      <w:pPr>
        <w:pStyle w:val="9"/>
        <w:shd w:val="clear" w:color="auto" w:fill="auto"/>
        <w:spacing w:line="240" w:lineRule="atLeast"/>
        <w:ind w:left="1169" w:leftChars="257" w:hanging="540"/>
        <w:rPr>
          <w:rFonts w:hint="eastAsia" w:ascii="仿宋" w:hAnsi="仿宋" w:eastAsia="仿宋" w:cs="仿宋"/>
          <w:color w:val="auto"/>
          <w:sz w:val="28"/>
          <w:szCs w:val="28"/>
          <w:highlight w:val="none"/>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1601"/>
        <w:gridCol w:w="1225"/>
        <w:gridCol w:w="1138"/>
        <w:gridCol w:w="1275"/>
        <w:gridCol w:w="1250"/>
        <w:gridCol w:w="1690"/>
      </w:tblGrid>
      <w:tr w14:paraId="18B93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696" w:type="dxa"/>
            <w:noWrap w:val="0"/>
            <w:vAlign w:val="top"/>
          </w:tcPr>
          <w:p w14:paraId="41362024">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序号</w:t>
            </w:r>
          </w:p>
        </w:tc>
        <w:tc>
          <w:tcPr>
            <w:tcW w:w="1601" w:type="dxa"/>
            <w:noWrap w:val="0"/>
            <w:vAlign w:val="center"/>
          </w:tcPr>
          <w:p w14:paraId="2A909BA9">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货物名称</w:t>
            </w:r>
          </w:p>
        </w:tc>
        <w:tc>
          <w:tcPr>
            <w:tcW w:w="1225" w:type="dxa"/>
            <w:noWrap w:val="0"/>
            <w:vAlign w:val="center"/>
          </w:tcPr>
          <w:p w14:paraId="35BAE2A4">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主要规格</w:t>
            </w:r>
          </w:p>
        </w:tc>
        <w:tc>
          <w:tcPr>
            <w:tcW w:w="1138" w:type="dxa"/>
            <w:noWrap w:val="0"/>
            <w:vAlign w:val="center"/>
          </w:tcPr>
          <w:p w14:paraId="1F0D450F">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数量</w:t>
            </w:r>
          </w:p>
        </w:tc>
        <w:tc>
          <w:tcPr>
            <w:tcW w:w="1275" w:type="dxa"/>
            <w:noWrap w:val="0"/>
            <w:vAlign w:val="center"/>
          </w:tcPr>
          <w:p w14:paraId="3428B3F5">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交货期</w:t>
            </w:r>
          </w:p>
        </w:tc>
        <w:tc>
          <w:tcPr>
            <w:tcW w:w="1250" w:type="dxa"/>
            <w:noWrap w:val="0"/>
            <w:vAlign w:val="center"/>
          </w:tcPr>
          <w:p w14:paraId="1F8489EB">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交货地点</w:t>
            </w:r>
          </w:p>
        </w:tc>
        <w:tc>
          <w:tcPr>
            <w:tcW w:w="1690" w:type="dxa"/>
            <w:noWrap w:val="0"/>
            <w:vAlign w:val="center"/>
          </w:tcPr>
          <w:p w14:paraId="03D95E24">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其它</w:t>
            </w:r>
          </w:p>
        </w:tc>
      </w:tr>
      <w:tr w14:paraId="5DFF8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696" w:type="dxa"/>
            <w:noWrap w:val="0"/>
            <w:vAlign w:val="top"/>
          </w:tcPr>
          <w:p w14:paraId="4B634A4D">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22E1FF1C">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1A6ACB56">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271ED8D9">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1E4DF578">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2C77E143">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070F8CB3">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614D6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696" w:type="dxa"/>
            <w:noWrap w:val="0"/>
            <w:vAlign w:val="top"/>
          </w:tcPr>
          <w:p w14:paraId="5B04639E">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5B413A63">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3EE88502">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058D8E1C">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454F315F">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4867322F">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07C561DA">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3C29D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696" w:type="dxa"/>
            <w:noWrap w:val="0"/>
            <w:vAlign w:val="top"/>
          </w:tcPr>
          <w:p w14:paraId="3F819C2C">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50A96B32">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115875F9">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23622968">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01E98DB0">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3DC91611">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3030F127">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3028A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696" w:type="dxa"/>
            <w:noWrap w:val="0"/>
            <w:vAlign w:val="top"/>
          </w:tcPr>
          <w:p w14:paraId="19CF5C7D">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275C7A42">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7BAFC752">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2464495A">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48210390">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4E5035EB">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276A8150">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7629F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96" w:type="dxa"/>
            <w:noWrap w:val="0"/>
            <w:vAlign w:val="top"/>
          </w:tcPr>
          <w:p w14:paraId="2FA9437E">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3102ACB0">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657F9C93">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078A8EB5">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4768BD5C">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60000A5C">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4C1CD307">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55B13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696" w:type="dxa"/>
            <w:noWrap w:val="0"/>
            <w:vAlign w:val="top"/>
          </w:tcPr>
          <w:p w14:paraId="1F24B29F">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337750A1">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5AB9EA21">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0BCC2258">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732A2C5D">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0015AA04">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457D160C">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0EAE5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696" w:type="dxa"/>
            <w:noWrap w:val="0"/>
            <w:vAlign w:val="top"/>
          </w:tcPr>
          <w:p w14:paraId="53733EFE">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7D80F109">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1DE8572E">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2BA42C80">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1CC5D4C3">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32528110">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64D2B89D">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6BE0A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696" w:type="dxa"/>
            <w:noWrap w:val="0"/>
            <w:vAlign w:val="top"/>
          </w:tcPr>
          <w:p w14:paraId="7D1E0859">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7BEC6A4F">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7D609783">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1367A928">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2687CEDE">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390104A1">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7E49C3CF">
            <w:pPr>
              <w:pStyle w:val="9"/>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bl>
    <w:p w14:paraId="0DD38B44">
      <w:pPr>
        <w:pStyle w:val="9"/>
        <w:shd w:val="clear" w:color="auto" w:fill="auto"/>
        <w:spacing w:line="240" w:lineRule="atLeast"/>
        <w:ind w:left="1169" w:leftChars="257" w:hanging="540"/>
        <w:rPr>
          <w:rFonts w:hint="eastAsia" w:ascii="仿宋" w:hAnsi="仿宋" w:eastAsia="仿宋" w:cs="仿宋"/>
          <w:color w:val="auto"/>
          <w:sz w:val="28"/>
          <w:szCs w:val="28"/>
          <w:highlight w:val="none"/>
        </w:rPr>
      </w:pPr>
    </w:p>
    <w:p w14:paraId="3F24862A">
      <w:pPr>
        <w:pStyle w:val="9"/>
        <w:shd w:val="clear" w:color="auto" w:fill="auto"/>
        <w:spacing w:line="240" w:lineRule="atLeast"/>
        <w:ind w:left="1169" w:leftChars="257" w:hanging="54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法定代表人或其委托代理人签字:</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rPr>
        <w:tab/>
      </w:r>
      <w:r>
        <w:rPr>
          <w:rFonts w:hint="eastAsia" w:ascii="仿宋" w:hAnsi="仿宋" w:eastAsia="仿宋" w:cs="仿宋"/>
          <w:color w:val="auto"/>
          <w:sz w:val="28"/>
          <w:szCs w:val="28"/>
          <w:highlight w:val="none"/>
          <w:u w:val="single"/>
        </w:rPr>
        <w:t xml:space="preserve">                 </w:t>
      </w:r>
    </w:p>
    <w:p w14:paraId="051B871B">
      <w:pPr>
        <w:pStyle w:val="9"/>
        <w:shd w:val="clear" w:color="auto" w:fill="auto"/>
        <w:tabs>
          <w:tab w:val="left" w:pos="5370"/>
        </w:tabs>
        <w:spacing w:line="240" w:lineRule="atLeast"/>
        <w:ind w:left="1169" w:leftChars="257" w:hanging="540"/>
        <w:rPr>
          <w:rFonts w:hint="eastAsia" w:ascii="仿宋" w:hAnsi="仿宋" w:eastAsia="仿宋" w:cs="仿宋"/>
          <w:color w:val="auto"/>
          <w:sz w:val="28"/>
          <w:szCs w:val="28"/>
          <w:highlight w:val="none"/>
        </w:rPr>
      </w:pPr>
    </w:p>
    <w:p w14:paraId="621E51A5">
      <w:pPr>
        <w:pStyle w:val="9"/>
        <w:shd w:val="clear" w:color="auto" w:fill="auto"/>
        <w:tabs>
          <w:tab w:val="left" w:pos="5370"/>
        </w:tabs>
        <w:spacing w:line="240" w:lineRule="atLeast"/>
        <w:ind w:left="1169" w:leftChars="257" w:hanging="54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投标人(盖单位章):</w:t>
      </w:r>
      <w:r>
        <w:rPr>
          <w:rFonts w:hint="eastAsia" w:ascii="仿宋" w:hAnsi="仿宋" w:eastAsia="仿宋" w:cs="仿宋"/>
          <w:color w:val="auto"/>
          <w:sz w:val="28"/>
          <w:szCs w:val="28"/>
          <w:highlight w:val="none"/>
          <w:u w:val="single"/>
        </w:rPr>
        <w:tab/>
      </w:r>
    </w:p>
    <w:p w14:paraId="45EDE607">
      <w:pPr>
        <w:pStyle w:val="9"/>
        <w:shd w:val="clear" w:color="auto" w:fill="auto"/>
        <w:spacing w:line="240" w:lineRule="atLeas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 各项货物详细技术性能应另页描述。</w:t>
      </w:r>
    </w:p>
    <w:p w14:paraId="63BBAB08">
      <w:pPr>
        <w:pStyle w:val="9"/>
        <w:shd w:val="clear" w:color="auto" w:fill="auto"/>
        <w:spacing w:line="240" w:lineRule="atLeast"/>
        <w:ind w:left="1169" w:leftChars="257" w:hanging="540"/>
        <w:jc w:val="center"/>
        <w:rPr>
          <w:rFonts w:hint="eastAsia" w:ascii="仿宋" w:hAnsi="仿宋" w:eastAsia="仿宋" w:cs="仿宋"/>
          <w:color w:val="auto"/>
          <w:sz w:val="28"/>
          <w:szCs w:val="28"/>
          <w:highlight w:val="none"/>
        </w:rPr>
        <w:sectPr>
          <w:footerReference r:id="rId4" w:type="default"/>
          <w:pgSz w:w="11905" w:h="16838"/>
          <w:pgMar w:top="1440" w:right="1417" w:bottom="1440" w:left="1417" w:header="850" w:footer="992" w:gutter="0"/>
          <w:pgNumType w:fmt="decimal"/>
          <w:cols w:space="0" w:num="1"/>
          <w:rtlGutter w:val="0"/>
          <w:docGrid w:type="linesAndChars" w:linePitch="332" w:charSpace="1057"/>
        </w:sectPr>
      </w:pPr>
    </w:p>
    <w:p w14:paraId="6259865A">
      <w:pPr>
        <w:pStyle w:val="26"/>
        <w:keepNext/>
        <w:keepLines/>
        <w:widowControl w:val="0"/>
        <w:numPr>
          <w:ilvl w:val="0"/>
          <w:numId w:val="0"/>
        </w:numPr>
        <w:shd w:val="clear" w:color="auto" w:fill="auto"/>
        <w:bidi w:val="0"/>
        <w:spacing w:before="0" w:after="220" w:line="240" w:lineRule="auto"/>
        <w:ind w:right="0" w:rightChars="0"/>
        <w:jc w:val="center"/>
        <w:rPr>
          <w:rFonts w:hint="eastAsia" w:ascii="仿宋" w:hAnsi="仿宋" w:eastAsia="仿宋" w:cs="仿宋"/>
          <w:b/>
          <w:bCs/>
          <w:i w:val="0"/>
          <w:iCs w:val="0"/>
          <w:color w:val="auto"/>
          <w:spacing w:val="0"/>
          <w:w w:val="100"/>
          <w:position w:val="0"/>
          <w:sz w:val="28"/>
          <w:szCs w:val="28"/>
        </w:rPr>
      </w:pPr>
      <w:r>
        <w:rPr>
          <w:rFonts w:hint="eastAsia" w:ascii="仿宋" w:hAnsi="仿宋" w:eastAsia="仿宋" w:cs="仿宋"/>
          <w:b/>
          <w:bCs/>
          <w:i w:val="0"/>
          <w:iCs w:val="0"/>
          <w:color w:val="auto"/>
          <w:spacing w:val="0"/>
          <w:w w:val="100"/>
          <w:position w:val="0"/>
          <w:sz w:val="28"/>
          <w:szCs w:val="28"/>
          <w:lang w:val="en-US" w:eastAsia="zh-CN"/>
        </w:rPr>
        <w:t>4</w:t>
      </w:r>
      <w:r>
        <w:rPr>
          <w:rFonts w:hint="eastAsia" w:ascii="仿宋" w:hAnsi="仿宋" w:eastAsia="仿宋" w:cs="仿宋"/>
          <w:b/>
          <w:bCs/>
          <w:i w:val="0"/>
          <w:iCs w:val="0"/>
          <w:color w:val="auto"/>
          <w:spacing w:val="0"/>
          <w:w w:val="100"/>
          <w:position w:val="0"/>
          <w:sz w:val="28"/>
          <w:szCs w:val="28"/>
          <w:lang w:eastAsia="zh-CN"/>
        </w:rPr>
        <w:t>、</w:t>
      </w:r>
      <w:r>
        <w:rPr>
          <w:rFonts w:hint="eastAsia" w:ascii="仿宋" w:hAnsi="仿宋" w:eastAsia="仿宋" w:cs="仿宋"/>
          <w:b/>
          <w:bCs/>
          <w:i w:val="0"/>
          <w:iCs w:val="0"/>
          <w:color w:val="auto"/>
          <w:spacing w:val="0"/>
          <w:w w:val="100"/>
          <w:position w:val="0"/>
          <w:sz w:val="28"/>
          <w:szCs w:val="28"/>
        </w:rPr>
        <w:t>投标报价明细表</w:t>
      </w:r>
    </w:p>
    <w:p w14:paraId="214C31F5">
      <w:pPr>
        <w:pStyle w:val="5"/>
        <w:tabs>
          <w:tab w:val="left" w:pos="7020"/>
        </w:tabs>
        <w:spacing w:line="360" w:lineRule="auto"/>
        <w:ind w:firstLine="565" w:firstLineChars="202"/>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项目名称：</w:t>
      </w:r>
      <w:r>
        <w:rPr>
          <w:rFonts w:hint="eastAsia" w:ascii="仿宋" w:hAnsi="仿宋" w:eastAsia="仿宋" w:cs="仿宋"/>
          <w:color w:val="auto"/>
          <w:sz w:val="28"/>
          <w:szCs w:val="28"/>
          <w:highlight w:val="none"/>
        </w:rPr>
        <w:tab/>
      </w:r>
    </w:p>
    <w:p w14:paraId="3E46D153">
      <w:pPr>
        <w:pStyle w:val="5"/>
        <w:tabs>
          <w:tab w:val="left" w:pos="7560"/>
        </w:tabs>
        <w:spacing w:line="360" w:lineRule="auto"/>
        <w:ind w:firstLine="565" w:firstLineChars="202"/>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eastAsia="zh-CN"/>
        </w:rPr>
        <w:t>项目编号</w:t>
      </w:r>
      <w:r>
        <w:rPr>
          <w:rFonts w:hint="eastAsia" w:ascii="仿宋" w:hAnsi="仿宋" w:eastAsia="仿宋" w:cs="仿宋"/>
          <w:color w:val="auto"/>
          <w:kern w:val="0"/>
          <w:sz w:val="28"/>
          <w:szCs w:val="28"/>
          <w:highlight w:val="none"/>
        </w:rPr>
        <w:t>：</w:t>
      </w:r>
    </w:p>
    <w:tbl>
      <w:tblPr>
        <w:tblStyle w:val="18"/>
        <w:tblW w:w="9208"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077"/>
        <w:gridCol w:w="941"/>
        <w:gridCol w:w="1262"/>
        <w:gridCol w:w="1285"/>
        <w:gridCol w:w="1286"/>
        <w:gridCol w:w="984"/>
        <w:gridCol w:w="1702"/>
        <w:gridCol w:w="4"/>
      </w:tblGrid>
      <w:tr w14:paraId="2BCC8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455" w:hRule="atLeast"/>
          <w:jc w:val="right"/>
        </w:trPr>
        <w:tc>
          <w:tcPr>
            <w:tcW w:w="667" w:type="dxa"/>
            <w:noWrap w:val="0"/>
            <w:vAlign w:val="center"/>
          </w:tcPr>
          <w:p w14:paraId="64B4AD2A">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序</w:t>
            </w:r>
            <w:r>
              <w:rPr>
                <w:rFonts w:hint="eastAsia" w:ascii="宋体" w:hAnsi="宋体" w:eastAsia="宋体" w:cs="宋体"/>
                <w:color w:val="auto"/>
                <w:sz w:val="24"/>
                <w:szCs w:val="24"/>
                <w:lang w:eastAsia="zh-CN"/>
              </w:rPr>
              <w:t>号</w:t>
            </w:r>
          </w:p>
        </w:tc>
        <w:tc>
          <w:tcPr>
            <w:tcW w:w="1077" w:type="dxa"/>
            <w:noWrap w:val="0"/>
            <w:vAlign w:val="center"/>
          </w:tcPr>
          <w:p w14:paraId="209509AE">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lang w:eastAsia="zh-CN"/>
              </w:rPr>
              <w:t>名称</w:t>
            </w:r>
          </w:p>
        </w:tc>
        <w:tc>
          <w:tcPr>
            <w:tcW w:w="941" w:type="dxa"/>
            <w:noWrap w:val="0"/>
            <w:vAlign w:val="center"/>
          </w:tcPr>
          <w:p w14:paraId="6FF24784">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品牌</w:t>
            </w:r>
          </w:p>
        </w:tc>
        <w:tc>
          <w:tcPr>
            <w:tcW w:w="1262" w:type="dxa"/>
            <w:noWrap w:val="0"/>
            <w:vAlign w:val="center"/>
          </w:tcPr>
          <w:p w14:paraId="494F504E">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zh-CN" w:eastAsia="zh-CN"/>
              </w:rPr>
              <w:t>数量</w:t>
            </w:r>
          </w:p>
        </w:tc>
        <w:tc>
          <w:tcPr>
            <w:tcW w:w="1285" w:type="dxa"/>
            <w:noWrap w:val="0"/>
            <w:vAlign w:val="center"/>
          </w:tcPr>
          <w:p w14:paraId="10811EA1">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zh-CN" w:eastAsia="zh-CN"/>
              </w:rPr>
              <w:t>型号</w:t>
            </w:r>
          </w:p>
        </w:tc>
        <w:tc>
          <w:tcPr>
            <w:tcW w:w="1286" w:type="dxa"/>
            <w:noWrap w:val="0"/>
            <w:vAlign w:val="center"/>
          </w:tcPr>
          <w:p w14:paraId="5B3F4625">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单价（元）</w:t>
            </w:r>
          </w:p>
        </w:tc>
        <w:tc>
          <w:tcPr>
            <w:tcW w:w="984" w:type="dxa"/>
            <w:noWrap w:val="0"/>
            <w:vAlign w:val="center"/>
          </w:tcPr>
          <w:p w14:paraId="5717A97C">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zh-CN" w:eastAsia="zh-CN"/>
              </w:rPr>
              <w:t>单位</w:t>
            </w:r>
          </w:p>
        </w:tc>
        <w:tc>
          <w:tcPr>
            <w:tcW w:w="1702" w:type="dxa"/>
            <w:noWrap w:val="0"/>
            <w:vAlign w:val="center"/>
          </w:tcPr>
          <w:p w14:paraId="7B6FD83F">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小计</w:t>
            </w:r>
            <w:r>
              <w:rPr>
                <w:rFonts w:hint="eastAsia" w:ascii="宋体" w:hAnsi="宋体" w:eastAsia="宋体" w:cs="宋体"/>
                <w:color w:val="auto"/>
                <w:sz w:val="24"/>
                <w:szCs w:val="24"/>
                <w:lang w:eastAsia="zh-CN"/>
              </w:rPr>
              <w:t>（元）</w:t>
            </w:r>
          </w:p>
        </w:tc>
      </w:tr>
      <w:tr w14:paraId="39E2D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446" w:hRule="atLeast"/>
          <w:jc w:val="right"/>
        </w:trPr>
        <w:tc>
          <w:tcPr>
            <w:tcW w:w="667" w:type="dxa"/>
            <w:noWrap w:val="0"/>
            <w:vAlign w:val="center"/>
          </w:tcPr>
          <w:p w14:paraId="05F2A784">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1077" w:type="dxa"/>
            <w:noWrap w:val="0"/>
            <w:vAlign w:val="center"/>
          </w:tcPr>
          <w:p w14:paraId="712A74C7">
            <w:pPr>
              <w:spacing w:line="440" w:lineRule="exact"/>
              <w:jc w:val="center"/>
              <w:rPr>
                <w:rFonts w:hint="eastAsia" w:ascii="宋体" w:hAnsi="宋体" w:eastAsia="宋体" w:cs="宋体"/>
                <w:color w:val="auto"/>
                <w:sz w:val="24"/>
                <w:szCs w:val="24"/>
                <w:lang w:eastAsia="zh-CN"/>
              </w:rPr>
            </w:pPr>
          </w:p>
        </w:tc>
        <w:tc>
          <w:tcPr>
            <w:tcW w:w="941" w:type="dxa"/>
            <w:noWrap w:val="0"/>
            <w:vAlign w:val="center"/>
          </w:tcPr>
          <w:p w14:paraId="53658490">
            <w:pPr>
              <w:spacing w:line="440" w:lineRule="exact"/>
              <w:jc w:val="center"/>
              <w:rPr>
                <w:rFonts w:hint="eastAsia" w:ascii="宋体" w:hAnsi="宋体" w:eastAsia="宋体" w:cs="宋体"/>
                <w:color w:val="auto"/>
                <w:sz w:val="24"/>
                <w:szCs w:val="24"/>
                <w:lang w:val="en-US" w:eastAsia="zh-CN"/>
              </w:rPr>
            </w:pPr>
          </w:p>
        </w:tc>
        <w:tc>
          <w:tcPr>
            <w:tcW w:w="1262" w:type="dxa"/>
            <w:noWrap w:val="0"/>
            <w:vAlign w:val="center"/>
          </w:tcPr>
          <w:p w14:paraId="24D7A0DF">
            <w:pPr>
              <w:spacing w:line="440" w:lineRule="exact"/>
              <w:jc w:val="center"/>
              <w:rPr>
                <w:rFonts w:hint="eastAsia" w:ascii="宋体" w:hAnsi="宋体" w:eastAsia="宋体" w:cs="宋体"/>
                <w:color w:val="auto"/>
                <w:sz w:val="24"/>
                <w:szCs w:val="24"/>
                <w:lang w:eastAsia="zh-CN"/>
              </w:rPr>
            </w:pPr>
          </w:p>
        </w:tc>
        <w:tc>
          <w:tcPr>
            <w:tcW w:w="1285" w:type="dxa"/>
            <w:noWrap w:val="0"/>
            <w:vAlign w:val="center"/>
          </w:tcPr>
          <w:p w14:paraId="5243429E">
            <w:pPr>
              <w:spacing w:line="440" w:lineRule="exact"/>
              <w:jc w:val="center"/>
              <w:rPr>
                <w:rFonts w:hint="eastAsia" w:ascii="宋体" w:hAnsi="宋体" w:eastAsia="宋体" w:cs="宋体"/>
                <w:color w:val="auto"/>
                <w:sz w:val="24"/>
                <w:szCs w:val="24"/>
                <w:lang w:eastAsia="zh-CN"/>
              </w:rPr>
            </w:pPr>
          </w:p>
        </w:tc>
        <w:tc>
          <w:tcPr>
            <w:tcW w:w="1286" w:type="dxa"/>
            <w:noWrap w:val="0"/>
            <w:vAlign w:val="center"/>
          </w:tcPr>
          <w:p w14:paraId="01D913E2">
            <w:pPr>
              <w:spacing w:line="440" w:lineRule="exact"/>
              <w:jc w:val="center"/>
              <w:rPr>
                <w:rFonts w:hint="eastAsia" w:ascii="宋体" w:hAnsi="宋体" w:eastAsia="宋体" w:cs="宋体"/>
                <w:color w:val="auto"/>
                <w:sz w:val="24"/>
                <w:szCs w:val="24"/>
                <w:lang w:eastAsia="zh-CN"/>
              </w:rPr>
            </w:pPr>
          </w:p>
        </w:tc>
        <w:tc>
          <w:tcPr>
            <w:tcW w:w="984" w:type="dxa"/>
            <w:noWrap w:val="0"/>
            <w:vAlign w:val="center"/>
          </w:tcPr>
          <w:p w14:paraId="039A1387">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0350B891">
            <w:pPr>
              <w:spacing w:line="440" w:lineRule="exact"/>
              <w:jc w:val="center"/>
              <w:rPr>
                <w:rFonts w:hint="eastAsia" w:ascii="宋体" w:hAnsi="宋体" w:eastAsia="宋体" w:cs="宋体"/>
                <w:color w:val="auto"/>
                <w:sz w:val="24"/>
                <w:szCs w:val="24"/>
                <w:lang w:eastAsia="zh-CN"/>
              </w:rPr>
            </w:pPr>
          </w:p>
        </w:tc>
      </w:tr>
      <w:tr w14:paraId="211C8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446" w:hRule="atLeast"/>
          <w:jc w:val="right"/>
        </w:trPr>
        <w:tc>
          <w:tcPr>
            <w:tcW w:w="667" w:type="dxa"/>
            <w:noWrap w:val="0"/>
            <w:vAlign w:val="center"/>
          </w:tcPr>
          <w:p w14:paraId="3FA702CC">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1077" w:type="dxa"/>
            <w:noWrap w:val="0"/>
            <w:vAlign w:val="center"/>
          </w:tcPr>
          <w:p w14:paraId="03C41074">
            <w:pPr>
              <w:spacing w:line="440" w:lineRule="exact"/>
              <w:jc w:val="center"/>
              <w:rPr>
                <w:rFonts w:hint="eastAsia" w:ascii="宋体" w:hAnsi="宋体" w:eastAsia="宋体" w:cs="宋体"/>
                <w:color w:val="auto"/>
                <w:sz w:val="24"/>
                <w:szCs w:val="24"/>
                <w:lang w:eastAsia="zh-CN"/>
              </w:rPr>
            </w:pPr>
          </w:p>
        </w:tc>
        <w:tc>
          <w:tcPr>
            <w:tcW w:w="941" w:type="dxa"/>
            <w:noWrap w:val="0"/>
            <w:vAlign w:val="center"/>
          </w:tcPr>
          <w:p w14:paraId="59CC4EB6">
            <w:pPr>
              <w:spacing w:line="440" w:lineRule="exact"/>
              <w:jc w:val="center"/>
              <w:rPr>
                <w:rFonts w:hint="eastAsia" w:ascii="宋体" w:hAnsi="宋体" w:eastAsia="宋体" w:cs="宋体"/>
                <w:color w:val="auto"/>
                <w:sz w:val="24"/>
                <w:szCs w:val="24"/>
                <w:lang w:val="en-US" w:eastAsia="zh-CN"/>
              </w:rPr>
            </w:pPr>
          </w:p>
        </w:tc>
        <w:tc>
          <w:tcPr>
            <w:tcW w:w="1262" w:type="dxa"/>
            <w:noWrap w:val="0"/>
            <w:vAlign w:val="center"/>
          </w:tcPr>
          <w:p w14:paraId="731A4C09">
            <w:pPr>
              <w:spacing w:line="440" w:lineRule="exact"/>
              <w:jc w:val="center"/>
              <w:rPr>
                <w:rFonts w:hint="eastAsia" w:ascii="宋体" w:hAnsi="宋体" w:eastAsia="宋体" w:cs="宋体"/>
                <w:color w:val="auto"/>
                <w:sz w:val="24"/>
                <w:szCs w:val="24"/>
                <w:lang w:eastAsia="zh-CN"/>
              </w:rPr>
            </w:pPr>
          </w:p>
        </w:tc>
        <w:tc>
          <w:tcPr>
            <w:tcW w:w="1285" w:type="dxa"/>
            <w:noWrap w:val="0"/>
            <w:vAlign w:val="center"/>
          </w:tcPr>
          <w:p w14:paraId="00094C41">
            <w:pPr>
              <w:spacing w:line="440" w:lineRule="exact"/>
              <w:jc w:val="center"/>
              <w:rPr>
                <w:rFonts w:hint="eastAsia" w:ascii="宋体" w:hAnsi="宋体" w:eastAsia="宋体" w:cs="宋体"/>
                <w:color w:val="auto"/>
                <w:sz w:val="24"/>
                <w:szCs w:val="24"/>
                <w:lang w:eastAsia="zh-CN"/>
              </w:rPr>
            </w:pPr>
          </w:p>
        </w:tc>
        <w:tc>
          <w:tcPr>
            <w:tcW w:w="1286" w:type="dxa"/>
            <w:noWrap w:val="0"/>
            <w:vAlign w:val="center"/>
          </w:tcPr>
          <w:p w14:paraId="02FB359C">
            <w:pPr>
              <w:spacing w:line="440" w:lineRule="exact"/>
              <w:jc w:val="center"/>
              <w:rPr>
                <w:rFonts w:hint="eastAsia" w:ascii="宋体" w:hAnsi="宋体" w:eastAsia="宋体" w:cs="宋体"/>
                <w:color w:val="auto"/>
                <w:sz w:val="24"/>
                <w:szCs w:val="24"/>
                <w:lang w:eastAsia="zh-CN"/>
              </w:rPr>
            </w:pPr>
          </w:p>
        </w:tc>
        <w:tc>
          <w:tcPr>
            <w:tcW w:w="984" w:type="dxa"/>
            <w:noWrap w:val="0"/>
            <w:vAlign w:val="center"/>
          </w:tcPr>
          <w:p w14:paraId="55DB589A">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25C1F744">
            <w:pPr>
              <w:spacing w:line="440" w:lineRule="exact"/>
              <w:jc w:val="center"/>
              <w:rPr>
                <w:rFonts w:hint="eastAsia" w:ascii="宋体" w:hAnsi="宋体" w:eastAsia="宋体" w:cs="宋体"/>
                <w:color w:val="auto"/>
                <w:sz w:val="24"/>
                <w:szCs w:val="24"/>
                <w:lang w:eastAsia="zh-CN"/>
              </w:rPr>
            </w:pPr>
          </w:p>
        </w:tc>
      </w:tr>
      <w:tr w14:paraId="0EB3C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446" w:hRule="atLeast"/>
          <w:jc w:val="right"/>
        </w:trPr>
        <w:tc>
          <w:tcPr>
            <w:tcW w:w="667" w:type="dxa"/>
            <w:noWrap w:val="0"/>
            <w:vAlign w:val="center"/>
          </w:tcPr>
          <w:p w14:paraId="3B872B63">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1077" w:type="dxa"/>
            <w:noWrap w:val="0"/>
            <w:vAlign w:val="center"/>
          </w:tcPr>
          <w:p w14:paraId="5675977F">
            <w:pPr>
              <w:spacing w:line="440" w:lineRule="exact"/>
              <w:jc w:val="center"/>
              <w:rPr>
                <w:rFonts w:hint="eastAsia" w:ascii="宋体" w:hAnsi="宋体" w:eastAsia="宋体" w:cs="宋体"/>
                <w:color w:val="auto"/>
                <w:sz w:val="24"/>
                <w:szCs w:val="24"/>
                <w:lang w:eastAsia="zh-CN"/>
              </w:rPr>
            </w:pPr>
          </w:p>
        </w:tc>
        <w:tc>
          <w:tcPr>
            <w:tcW w:w="941" w:type="dxa"/>
            <w:noWrap w:val="0"/>
            <w:vAlign w:val="center"/>
          </w:tcPr>
          <w:p w14:paraId="0E036177">
            <w:pPr>
              <w:spacing w:line="440" w:lineRule="exact"/>
              <w:jc w:val="center"/>
              <w:rPr>
                <w:rFonts w:hint="eastAsia" w:ascii="宋体" w:hAnsi="宋体" w:eastAsia="宋体" w:cs="宋体"/>
                <w:color w:val="auto"/>
                <w:sz w:val="24"/>
                <w:szCs w:val="24"/>
                <w:lang w:val="en-US" w:eastAsia="zh-CN"/>
              </w:rPr>
            </w:pPr>
          </w:p>
        </w:tc>
        <w:tc>
          <w:tcPr>
            <w:tcW w:w="1262" w:type="dxa"/>
            <w:noWrap w:val="0"/>
            <w:vAlign w:val="center"/>
          </w:tcPr>
          <w:p w14:paraId="1152C66E">
            <w:pPr>
              <w:spacing w:line="440" w:lineRule="exact"/>
              <w:jc w:val="center"/>
              <w:rPr>
                <w:rFonts w:hint="eastAsia" w:ascii="宋体" w:hAnsi="宋体" w:eastAsia="宋体" w:cs="宋体"/>
                <w:color w:val="auto"/>
                <w:sz w:val="24"/>
                <w:szCs w:val="24"/>
                <w:lang w:eastAsia="zh-CN"/>
              </w:rPr>
            </w:pPr>
          </w:p>
        </w:tc>
        <w:tc>
          <w:tcPr>
            <w:tcW w:w="1285" w:type="dxa"/>
            <w:noWrap w:val="0"/>
            <w:vAlign w:val="center"/>
          </w:tcPr>
          <w:p w14:paraId="34E9C7CA">
            <w:pPr>
              <w:spacing w:line="440" w:lineRule="exact"/>
              <w:jc w:val="center"/>
              <w:rPr>
                <w:rFonts w:hint="eastAsia" w:ascii="宋体" w:hAnsi="宋体" w:eastAsia="宋体" w:cs="宋体"/>
                <w:color w:val="auto"/>
                <w:sz w:val="24"/>
                <w:szCs w:val="24"/>
                <w:lang w:eastAsia="zh-CN"/>
              </w:rPr>
            </w:pPr>
          </w:p>
        </w:tc>
        <w:tc>
          <w:tcPr>
            <w:tcW w:w="1286" w:type="dxa"/>
            <w:noWrap w:val="0"/>
            <w:vAlign w:val="center"/>
          </w:tcPr>
          <w:p w14:paraId="2ECD2ACA">
            <w:pPr>
              <w:spacing w:line="440" w:lineRule="exact"/>
              <w:jc w:val="center"/>
              <w:rPr>
                <w:rFonts w:hint="eastAsia" w:ascii="宋体" w:hAnsi="宋体" w:eastAsia="宋体" w:cs="宋体"/>
                <w:color w:val="auto"/>
                <w:sz w:val="24"/>
                <w:szCs w:val="24"/>
                <w:lang w:eastAsia="zh-CN"/>
              </w:rPr>
            </w:pPr>
          </w:p>
        </w:tc>
        <w:tc>
          <w:tcPr>
            <w:tcW w:w="984" w:type="dxa"/>
            <w:noWrap w:val="0"/>
            <w:vAlign w:val="center"/>
          </w:tcPr>
          <w:p w14:paraId="058E7BB1">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714E3A65">
            <w:pPr>
              <w:spacing w:line="440" w:lineRule="exact"/>
              <w:jc w:val="center"/>
              <w:rPr>
                <w:rFonts w:hint="eastAsia" w:ascii="宋体" w:hAnsi="宋体" w:eastAsia="宋体" w:cs="宋体"/>
                <w:color w:val="auto"/>
                <w:sz w:val="24"/>
                <w:szCs w:val="24"/>
                <w:lang w:eastAsia="zh-CN"/>
              </w:rPr>
            </w:pPr>
          </w:p>
        </w:tc>
      </w:tr>
      <w:tr w14:paraId="6044A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446" w:hRule="atLeast"/>
          <w:jc w:val="right"/>
        </w:trPr>
        <w:tc>
          <w:tcPr>
            <w:tcW w:w="667" w:type="dxa"/>
            <w:noWrap w:val="0"/>
            <w:vAlign w:val="center"/>
          </w:tcPr>
          <w:p w14:paraId="4DEF1980">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1077" w:type="dxa"/>
            <w:noWrap w:val="0"/>
            <w:vAlign w:val="center"/>
          </w:tcPr>
          <w:p w14:paraId="1BC7CCDF">
            <w:pPr>
              <w:spacing w:line="440" w:lineRule="exact"/>
              <w:jc w:val="center"/>
              <w:rPr>
                <w:rFonts w:hint="eastAsia" w:ascii="宋体" w:hAnsi="宋体" w:eastAsia="宋体" w:cs="宋体"/>
                <w:color w:val="auto"/>
                <w:sz w:val="24"/>
                <w:szCs w:val="24"/>
                <w:lang w:eastAsia="zh-CN"/>
              </w:rPr>
            </w:pPr>
          </w:p>
        </w:tc>
        <w:tc>
          <w:tcPr>
            <w:tcW w:w="941" w:type="dxa"/>
            <w:noWrap w:val="0"/>
            <w:vAlign w:val="center"/>
          </w:tcPr>
          <w:p w14:paraId="149B6983">
            <w:pPr>
              <w:spacing w:line="440" w:lineRule="exact"/>
              <w:jc w:val="center"/>
              <w:rPr>
                <w:rFonts w:hint="eastAsia" w:ascii="宋体" w:hAnsi="宋体" w:eastAsia="宋体" w:cs="宋体"/>
                <w:color w:val="auto"/>
                <w:sz w:val="24"/>
                <w:szCs w:val="24"/>
                <w:lang w:val="en-US" w:eastAsia="zh-CN"/>
              </w:rPr>
            </w:pPr>
          </w:p>
        </w:tc>
        <w:tc>
          <w:tcPr>
            <w:tcW w:w="1262" w:type="dxa"/>
            <w:noWrap w:val="0"/>
            <w:vAlign w:val="center"/>
          </w:tcPr>
          <w:p w14:paraId="1C8736B7">
            <w:pPr>
              <w:spacing w:line="440" w:lineRule="exact"/>
              <w:jc w:val="center"/>
              <w:rPr>
                <w:rFonts w:hint="eastAsia" w:ascii="宋体" w:hAnsi="宋体" w:eastAsia="宋体" w:cs="宋体"/>
                <w:color w:val="auto"/>
                <w:sz w:val="24"/>
                <w:szCs w:val="24"/>
                <w:lang w:eastAsia="zh-CN"/>
              </w:rPr>
            </w:pPr>
          </w:p>
        </w:tc>
        <w:tc>
          <w:tcPr>
            <w:tcW w:w="1285" w:type="dxa"/>
            <w:noWrap w:val="0"/>
            <w:vAlign w:val="center"/>
          </w:tcPr>
          <w:p w14:paraId="30E6CA53">
            <w:pPr>
              <w:spacing w:line="440" w:lineRule="exact"/>
              <w:jc w:val="center"/>
              <w:rPr>
                <w:rFonts w:hint="eastAsia" w:ascii="宋体" w:hAnsi="宋体" w:eastAsia="宋体" w:cs="宋体"/>
                <w:color w:val="auto"/>
                <w:sz w:val="24"/>
                <w:szCs w:val="24"/>
                <w:lang w:eastAsia="zh-CN"/>
              </w:rPr>
            </w:pPr>
          </w:p>
        </w:tc>
        <w:tc>
          <w:tcPr>
            <w:tcW w:w="1286" w:type="dxa"/>
            <w:noWrap w:val="0"/>
            <w:vAlign w:val="center"/>
          </w:tcPr>
          <w:p w14:paraId="3F919D8F">
            <w:pPr>
              <w:spacing w:line="440" w:lineRule="exact"/>
              <w:jc w:val="center"/>
              <w:rPr>
                <w:rFonts w:hint="eastAsia" w:ascii="宋体" w:hAnsi="宋体" w:eastAsia="宋体" w:cs="宋体"/>
                <w:color w:val="auto"/>
                <w:sz w:val="24"/>
                <w:szCs w:val="24"/>
                <w:lang w:eastAsia="zh-CN"/>
              </w:rPr>
            </w:pPr>
          </w:p>
        </w:tc>
        <w:tc>
          <w:tcPr>
            <w:tcW w:w="984" w:type="dxa"/>
            <w:noWrap w:val="0"/>
            <w:vAlign w:val="center"/>
          </w:tcPr>
          <w:p w14:paraId="6C979831">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603B6A78">
            <w:pPr>
              <w:spacing w:line="440" w:lineRule="exact"/>
              <w:jc w:val="center"/>
              <w:rPr>
                <w:rFonts w:hint="eastAsia" w:ascii="宋体" w:hAnsi="宋体" w:eastAsia="宋体" w:cs="宋体"/>
                <w:color w:val="auto"/>
                <w:sz w:val="24"/>
                <w:szCs w:val="24"/>
                <w:lang w:eastAsia="zh-CN"/>
              </w:rPr>
            </w:pPr>
          </w:p>
        </w:tc>
      </w:tr>
      <w:tr w14:paraId="5A4EC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446" w:hRule="atLeast"/>
          <w:jc w:val="right"/>
        </w:trPr>
        <w:tc>
          <w:tcPr>
            <w:tcW w:w="667" w:type="dxa"/>
            <w:noWrap w:val="0"/>
            <w:vAlign w:val="center"/>
          </w:tcPr>
          <w:p w14:paraId="3A805650">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1077" w:type="dxa"/>
            <w:noWrap w:val="0"/>
            <w:vAlign w:val="center"/>
          </w:tcPr>
          <w:p w14:paraId="1394B53F">
            <w:pPr>
              <w:spacing w:line="440" w:lineRule="exact"/>
              <w:jc w:val="center"/>
              <w:rPr>
                <w:rFonts w:hint="eastAsia" w:ascii="宋体" w:hAnsi="宋体" w:eastAsia="宋体" w:cs="宋体"/>
                <w:color w:val="auto"/>
                <w:sz w:val="24"/>
                <w:szCs w:val="24"/>
                <w:lang w:eastAsia="zh-CN"/>
              </w:rPr>
            </w:pPr>
          </w:p>
        </w:tc>
        <w:tc>
          <w:tcPr>
            <w:tcW w:w="941" w:type="dxa"/>
            <w:noWrap w:val="0"/>
            <w:vAlign w:val="center"/>
          </w:tcPr>
          <w:p w14:paraId="29A39B14">
            <w:pPr>
              <w:spacing w:line="440" w:lineRule="exact"/>
              <w:jc w:val="center"/>
              <w:rPr>
                <w:rFonts w:hint="eastAsia" w:ascii="宋体" w:hAnsi="宋体" w:eastAsia="宋体" w:cs="宋体"/>
                <w:color w:val="auto"/>
                <w:sz w:val="24"/>
                <w:szCs w:val="24"/>
                <w:lang w:val="en-US" w:eastAsia="zh-CN"/>
              </w:rPr>
            </w:pPr>
          </w:p>
        </w:tc>
        <w:tc>
          <w:tcPr>
            <w:tcW w:w="1262" w:type="dxa"/>
            <w:noWrap w:val="0"/>
            <w:vAlign w:val="center"/>
          </w:tcPr>
          <w:p w14:paraId="2E726489">
            <w:pPr>
              <w:spacing w:line="440" w:lineRule="exact"/>
              <w:jc w:val="center"/>
              <w:rPr>
                <w:rFonts w:hint="eastAsia" w:ascii="宋体" w:hAnsi="宋体" w:eastAsia="宋体" w:cs="宋体"/>
                <w:color w:val="auto"/>
                <w:sz w:val="24"/>
                <w:szCs w:val="24"/>
                <w:lang w:eastAsia="zh-CN"/>
              </w:rPr>
            </w:pPr>
          </w:p>
        </w:tc>
        <w:tc>
          <w:tcPr>
            <w:tcW w:w="1285" w:type="dxa"/>
            <w:noWrap w:val="0"/>
            <w:vAlign w:val="center"/>
          </w:tcPr>
          <w:p w14:paraId="32B0042C">
            <w:pPr>
              <w:spacing w:line="440" w:lineRule="exact"/>
              <w:jc w:val="center"/>
              <w:rPr>
                <w:rFonts w:hint="eastAsia" w:ascii="宋体" w:hAnsi="宋体" w:eastAsia="宋体" w:cs="宋体"/>
                <w:color w:val="auto"/>
                <w:sz w:val="24"/>
                <w:szCs w:val="24"/>
                <w:lang w:eastAsia="zh-CN"/>
              </w:rPr>
            </w:pPr>
          </w:p>
        </w:tc>
        <w:tc>
          <w:tcPr>
            <w:tcW w:w="1286" w:type="dxa"/>
            <w:noWrap w:val="0"/>
            <w:vAlign w:val="center"/>
          </w:tcPr>
          <w:p w14:paraId="7CB34382">
            <w:pPr>
              <w:spacing w:line="440" w:lineRule="exact"/>
              <w:jc w:val="center"/>
              <w:rPr>
                <w:rFonts w:hint="eastAsia" w:ascii="宋体" w:hAnsi="宋体" w:eastAsia="宋体" w:cs="宋体"/>
                <w:color w:val="auto"/>
                <w:sz w:val="24"/>
                <w:szCs w:val="24"/>
                <w:lang w:eastAsia="zh-CN"/>
              </w:rPr>
            </w:pPr>
          </w:p>
        </w:tc>
        <w:tc>
          <w:tcPr>
            <w:tcW w:w="984" w:type="dxa"/>
            <w:noWrap w:val="0"/>
            <w:vAlign w:val="center"/>
          </w:tcPr>
          <w:p w14:paraId="33271A11">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5546883D">
            <w:pPr>
              <w:spacing w:line="440" w:lineRule="exact"/>
              <w:jc w:val="center"/>
              <w:rPr>
                <w:rFonts w:hint="eastAsia" w:ascii="宋体" w:hAnsi="宋体" w:eastAsia="宋体" w:cs="宋体"/>
                <w:color w:val="auto"/>
                <w:sz w:val="24"/>
                <w:szCs w:val="24"/>
                <w:lang w:eastAsia="zh-CN"/>
              </w:rPr>
            </w:pPr>
          </w:p>
        </w:tc>
      </w:tr>
      <w:tr w14:paraId="10836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732" w:hRule="atLeast"/>
          <w:jc w:val="right"/>
        </w:trPr>
        <w:tc>
          <w:tcPr>
            <w:tcW w:w="667" w:type="dxa"/>
            <w:noWrap w:val="0"/>
            <w:vAlign w:val="center"/>
          </w:tcPr>
          <w:p w14:paraId="435F6FFD">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w:t>
            </w:r>
          </w:p>
        </w:tc>
        <w:tc>
          <w:tcPr>
            <w:tcW w:w="1077" w:type="dxa"/>
            <w:noWrap w:val="0"/>
            <w:vAlign w:val="center"/>
          </w:tcPr>
          <w:p w14:paraId="5901147A">
            <w:pPr>
              <w:spacing w:line="440" w:lineRule="exact"/>
              <w:jc w:val="center"/>
              <w:rPr>
                <w:rFonts w:hint="eastAsia" w:ascii="宋体" w:hAnsi="宋体" w:eastAsia="宋体" w:cs="宋体"/>
                <w:color w:val="auto"/>
                <w:sz w:val="24"/>
                <w:szCs w:val="24"/>
                <w:lang w:eastAsia="zh-CN"/>
              </w:rPr>
            </w:pPr>
          </w:p>
        </w:tc>
        <w:tc>
          <w:tcPr>
            <w:tcW w:w="941" w:type="dxa"/>
            <w:noWrap w:val="0"/>
            <w:vAlign w:val="center"/>
          </w:tcPr>
          <w:p w14:paraId="0E100B15">
            <w:pPr>
              <w:spacing w:line="440" w:lineRule="exact"/>
              <w:jc w:val="center"/>
              <w:rPr>
                <w:rFonts w:hint="eastAsia" w:ascii="宋体" w:hAnsi="宋体" w:eastAsia="宋体" w:cs="宋体"/>
                <w:color w:val="auto"/>
                <w:sz w:val="24"/>
                <w:szCs w:val="24"/>
                <w:lang w:val="en-US" w:eastAsia="zh-CN"/>
              </w:rPr>
            </w:pPr>
          </w:p>
        </w:tc>
        <w:tc>
          <w:tcPr>
            <w:tcW w:w="1262" w:type="dxa"/>
            <w:noWrap w:val="0"/>
            <w:vAlign w:val="center"/>
          </w:tcPr>
          <w:p w14:paraId="7800E7F4">
            <w:pPr>
              <w:spacing w:line="440" w:lineRule="exact"/>
              <w:jc w:val="center"/>
              <w:rPr>
                <w:rFonts w:hint="eastAsia" w:ascii="宋体" w:hAnsi="宋体" w:eastAsia="宋体" w:cs="宋体"/>
                <w:color w:val="auto"/>
                <w:sz w:val="24"/>
                <w:szCs w:val="24"/>
                <w:lang w:eastAsia="zh-CN"/>
              </w:rPr>
            </w:pPr>
          </w:p>
        </w:tc>
        <w:tc>
          <w:tcPr>
            <w:tcW w:w="1285" w:type="dxa"/>
            <w:noWrap w:val="0"/>
            <w:vAlign w:val="center"/>
          </w:tcPr>
          <w:p w14:paraId="34C51AD9">
            <w:pPr>
              <w:spacing w:line="440" w:lineRule="exact"/>
              <w:jc w:val="center"/>
              <w:rPr>
                <w:rFonts w:hint="eastAsia" w:ascii="宋体" w:hAnsi="宋体" w:eastAsia="宋体" w:cs="宋体"/>
                <w:color w:val="auto"/>
                <w:sz w:val="24"/>
                <w:szCs w:val="24"/>
                <w:lang w:eastAsia="zh-CN"/>
              </w:rPr>
            </w:pPr>
          </w:p>
        </w:tc>
        <w:tc>
          <w:tcPr>
            <w:tcW w:w="1286" w:type="dxa"/>
            <w:noWrap w:val="0"/>
            <w:vAlign w:val="center"/>
          </w:tcPr>
          <w:p w14:paraId="66660571">
            <w:pPr>
              <w:spacing w:line="440" w:lineRule="exact"/>
              <w:jc w:val="center"/>
              <w:rPr>
                <w:rFonts w:hint="eastAsia" w:ascii="宋体" w:hAnsi="宋体" w:eastAsia="宋体" w:cs="宋体"/>
                <w:color w:val="auto"/>
                <w:sz w:val="24"/>
                <w:szCs w:val="24"/>
                <w:lang w:eastAsia="zh-CN"/>
              </w:rPr>
            </w:pPr>
          </w:p>
        </w:tc>
        <w:tc>
          <w:tcPr>
            <w:tcW w:w="984" w:type="dxa"/>
            <w:noWrap w:val="0"/>
            <w:vAlign w:val="center"/>
          </w:tcPr>
          <w:p w14:paraId="755C03DA">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568A04FB">
            <w:pPr>
              <w:spacing w:line="440" w:lineRule="exact"/>
              <w:jc w:val="center"/>
              <w:rPr>
                <w:rFonts w:hint="eastAsia" w:ascii="宋体" w:hAnsi="宋体" w:eastAsia="宋体" w:cs="宋体"/>
                <w:color w:val="auto"/>
                <w:sz w:val="24"/>
                <w:szCs w:val="24"/>
                <w:lang w:eastAsia="zh-CN"/>
              </w:rPr>
            </w:pPr>
          </w:p>
        </w:tc>
      </w:tr>
      <w:tr w14:paraId="4C88F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right"/>
        </w:trPr>
        <w:tc>
          <w:tcPr>
            <w:tcW w:w="1744" w:type="dxa"/>
            <w:gridSpan w:val="2"/>
            <w:noWrap w:val="0"/>
            <w:vAlign w:val="center"/>
          </w:tcPr>
          <w:p w14:paraId="3D0851A0">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总报价（元）</w:t>
            </w:r>
          </w:p>
        </w:tc>
        <w:tc>
          <w:tcPr>
            <w:tcW w:w="7464" w:type="dxa"/>
            <w:gridSpan w:val="7"/>
            <w:noWrap w:val="0"/>
            <w:vAlign w:val="center"/>
          </w:tcPr>
          <w:p w14:paraId="3458CDC0">
            <w:pPr>
              <w:spacing w:line="440" w:lineRule="exact"/>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小写：</w:t>
            </w:r>
          </w:p>
          <w:p w14:paraId="5D281EF0">
            <w:pPr>
              <w:spacing w:line="440" w:lineRule="exact"/>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大写：</w:t>
            </w:r>
          </w:p>
        </w:tc>
      </w:tr>
      <w:tr w14:paraId="5A902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right"/>
        </w:trPr>
        <w:tc>
          <w:tcPr>
            <w:tcW w:w="9208" w:type="dxa"/>
            <w:gridSpan w:val="9"/>
            <w:noWrap w:val="0"/>
            <w:vAlign w:val="center"/>
          </w:tcPr>
          <w:p w14:paraId="73BC4FAF">
            <w:pPr>
              <w:autoSpaceDE w:val="0"/>
              <w:autoSpaceDN w:val="0"/>
              <w:adjustRightIn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备注：含运输安装费及税金。</w:t>
            </w:r>
          </w:p>
        </w:tc>
      </w:tr>
    </w:tbl>
    <w:p w14:paraId="56B944C6">
      <w:pPr>
        <w:pStyle w:val="30"/>
        <w:keepNext w:val="0"/>
        <w:keepLines w:val="0"/>
        <w:pageBreakBefore w:val="0"/>
        <w:widowControl w:val="0"/>
        <w:shd w:val="clear" w:color="auto" w:fill="auto"/>
        <w:kinsoku/>
        <w:wordWrap/>
        <w:overflowPunct/>
        <w:topLinePunct w:val="0"/>
        <w:autoSpaceDE/>
        <w:autoSpaceDN/>
        <w:bidi w:val="0"/>
        <w:adjustRightInd/>
        <w:snapToGrid/>
        <w:spacing w:before="0" w:after="0" w:line="357" w:lineRule="exact"/>
        <w:ind w:left="176" w:right="0" w:firstLine="0"/>
        <w:jc w:val="left"/>
        <w:textAlignment w:val="auto"/>
        <w:rPr>
          <w:rFonts w:hint="eastAsia" w:ascii="仿宋" w:hAnsi="仿宋" w:eastAsia="仿宋" w:cs="仿宋"/>
          <w:color w:val="auto"/>
          <w:spacing w:val="0"/>
          <w:w w:val="100"/>
          <w:position w:val="0"/>
          <w:sz w:val="28"/>
          <w:szCs w:val="28"/>
        </w:rPr>
      </w:pPr>
    </w:p>
    <w:p w14:paraId="5343E3A9">
      <w:pPr>
        <w:pStyle w:val="30"/>
        <w:keepNext w:val="0"/>
        <w:keepLines w:val="0"/>
        <w:pageBreakBefore w:val="0"/>
        <w:widowControl w:val="0"/>
        <w:shd w:val="clear" w:color="auto" w:fill="auto"/>
        <w:kinsoku/>
        <w:wordWrap/>
        <w:overflowPunct/>
        <w:topLinePunct w:val="0"/>
        <w:autoSpaceDE/>
        <w:autoSpaceDN/>
        <w:bidi w:val="0"/>
        <w:adjustRightInd/>
        <w:snapToGrid/>
        <w:spacing w:before="0" w:after="0" w:line="357" w:lineRule="exact"/>
        <w:ind w:right="0"/>
        <w:jc w:val="left"/>
        <w:textAlignment w:val="auto"/>
        <w:rPr>
          <w:rFonts w:hint="eastAsia" w:ascii="仿宋" w:hAnsi="仿宋" w:eastAsia="仿宋" w:cs="仿宋"/>
          <w:color w:val="auto"/>
          <w:spacing w:val="0"/>
          <w:w w:val="100"/>
          <w:position w:val="0"/>
          <w:sz w:val="28"/>
          <w:szCs w:val="28"/>
        </w:rPr>
      </w:pPr>
      <w:r>
        <w:rPr>
          <w:rFonts w:hint="eastAsia" w:ascii="仿宋" w:hAnsi="仿宋" w:eastAsia="仿宋" w:cs="仿宋"/>
          <w:color w:val="auto"/>
          <w:spacing w:val="0"/>
          <w:w w:val="100"/>
          <w:position w:val="0"/>
          <w:sz w:val="28"/>
          <w:szCs w:val="28"/>
        </w:rPr>
        <w:t>说明：</w:t>
      </w:r>
    </w:p>
    <w:p w14:paraId="3405073F">
      <w:pPr>
        <w:pStyle w:val="30"/>
        <w:keepNext w:val="0"/>
        <w:keepLines w:val="0"/>
        <w:pageBreakBefore w:val="0"/>
        <w:widowControl w:val="0"/>
        <w:shd w:val="clear" w:color="auto" w:fill="auto"/>
        <w:kinsoku/>
        <w:wordWrap/>
        <w:overflowPunct/>
        <w:topLinePunct w:val="0"/>
        <w:autoSpaceDE/>
        <w:autoSpaceDN/>
        <w:bidi w:val="0"/>
        <w:adjustRightInd/>
        <w:snapToGrid/>
        <w:spacing w:before="0" w:after="0" w:line="357" w:lineRule="exact"/>
        <w:ind w:right="0"/>
        <w:jc w:val="left"/>
        <w:textAlignment w:val="auto"/>
        <w:rPr>
          <w:rFonts w:hint="eastAsia" w:ascii="仿宋" w:hAnsi="仿宋" w:eastAsia="仿宋" w:cs="仿宋"/>
          <w:color w:val="auto"/>
          <w:sz w:val="28"/>
          <w:szCs w:val="28"/>
        </w:rPr>
      </w:pPr>
      <w:r>
        <w:rPr>
          <w:rFonts w:hint="eastAsia" w:ascii="仿宋" w:hAnsi="仿宋" w:eastAsia="仿宋" w:cs="仿宋"/>
          <w:color w:val="auto"/>
          <w:spacing w:val="0"/>
          <w:w w:val="100"/>
          <w:position w:val="0"/>
          <w:sz w:val="28"/>
          <w:szCs w:val="28"/>
          <w:lang w:val="en-US" w:eastAsia="en-US" w:bidi="en-US"/>
        </w:rPr>
        <w:t>1.</w:t>
      </w:r>
      <w:r>
        <w:rPr>
          <w:rFonts w:hint="eastAsia" w:ascii="仿宋" w:hAnsi="仿宋" w:eastAsia="仿宋" w:cs="仿宋"/>
          <w:color w:val="auto"/>
          <w:spacing w:val="0"/>
          <w:w w:val="100"/>
          <w:position w:val="0"/>
          <w:sz w:val="28"/>
          <w:szCs w:val="28"/>
        </w:rPr>
        <w:t>所有价格均用人民币表示，单位为元。</w:t>
      </w:r>
    </w:p>
    <w:p w14:paraId="018DDEE2">
      <w:pPr>
        <w:pStyle w:val="30"/>
        <w:keepNext w:val="0"/>
        <w:keepLines w:val="0"/>
        <w:pageBreakBefore w:val="0"/>
        <w:widowControl w:val="0"/>
        <w:numPr>
          <w:ilvl w:val="0"/>
          <w:numId w:val="0"/>
        </w:numPr>
        <w:shd w:val="clear" w:color="auto" w:fill="auto"/>
        <w:tabs>
          <w:tab w:val="left" w:pos="378"/>
        </w:tabs>
        <w:kinsoku/>
        <w:wordWrap/>
        <w:overflowPunct/>
        <w:topLinePunct w:val="0"/>
        <w:autoSpaceDE/>
        <w:autoSpaceDN/>
        <w:bidi w:val="0"/>
        <w:adjustRightInd/>
        <w:snapToGrid/>
        <w:spacing w:before="0" w:after="0" w:line="357" w:lineRule="exact"/>
        <w:ind w:right="0" w:rightChars="0"/>
        <w:jc w:val="left"/>
        <w:textAlignment w:val="auto"/>
        <w:rPr>
          <w:rFonts w:hint="eastAsia" w:ascii="仿宋" w:hAnsi="仿宋" w:eastAsia="仿宋" w:cs="仿宋"/>
          <w:color w:val="auto"/>
          <w:sz w:val="28"/>
          <w:szCs w:val="28"/>
        </w:rPr>
      </w:pPr>
      <w:r>
        <w:rPr>
          <w:rFonts w:hint="eastAsia" w:ascii="仿宋" w:hAnsi="仿宋" w:eastAsia="仿宋" w:cs="仿宋"/>
          <w:color w:val="auto"/>
          <w:spacing w:val="0"/>
          <w:w w:val="100"/>
          <w:position w:val="0"/>
          <w:sz w:val="28"/>
          <w:szCs w:val="28"/>
          <w:lang w:val="en-US" w:eastAsia="zh-CN"/>
        </w:rPr>
        <w:t>2.</w:t>
      </w:r>
      <w:r>
        <w:rPr>
          <w:rFonts w:hint="eastAsia" w:ascii="仿宋" w:hAnsi="仿宋" w:eastAsia="仿宋" w:cs="仿宋"/>
          <w:color w:val="auto"/>
          <w:spacing w:val="0"/>
          <w:w w:val="100"/>
          <w:position w:val="0"/>
          <w:sz w:val="28"/>
          <w:szCs w:val="28"/>
        </w:rPr>
        <w:t>报价总计价格必须与《</w:t>
      </w:r>
      <w:r>
        <w:rPr>
          <w:rFonts w:hint="eastAsia" w:ascii="仿宋" w:hAnsi="仿宋" w:eastAsia="仿宋" w:cs="仿宋"/>
          <w:color w:val="auto"/>
          <w:spacing w:val="0"/>
          <w:w w:val="100"/>
          <w:position w:val="0"/>
          <w:sz w:val="28"/>
          <w:szCs w:val="28"/>
          <w:lang w:eastAsia="zh-CN"/>
        </w:rPr>
        <w:t>投标报价单</w:t>
      </w:r>
      <w:r>
        <w:rPr>
          <w:rFonts w:hint="eastAsia" w:ascii="仿宋" w:hAnsi="仿宋" w:eastAsia="仿宋" w:cs="仿宋"/>
          <w:color w:val="auto"/>
          <w:spacing w:val="0"/>
          <w:w w:val="100"/>
          <w:position w:val="0"/>
          <w:sz w:val="28"/>
          <w:szCs w:val="28"/>
        </w:rPr>
        <w:t>》报价一致。</w:t>
      </w:r>
    </w:p>
    <w:p w14:paraId="754DC3D3">
      <w:pPr>
        <w:pStyle w:val="30"/>
        <w:keepNext w:val="0"/>
        <w:keepLines w:val="0"/>
        <w:pageBreakBefore w:val="0"/>
        <w:widowControl w:val="0"/>
        <w:numPr>
          <w:ilvl w:val="0"/>
          <w:numId w:val="0"/>
        </w:numPr>
        <w:shd w:val="clear" w:color="auto" w:fill="auto"/>
        <w:tabs>
          <w:tab w:val="left" w:pos="409"/>
          <w:tab w:val="left" w:pos="490"/>
        </w:tabs>
        <w:kinsoku/>
        <w:wordWrap/>
        <w:overflowPunct/>
        <w:topLinePunct w:val="0"/>
        <w:autoSpaceDE/>
        <w:autoSpaceDN/>
        <w:bidi w:val="0"/>
        <w:adjustRightInd/>
        <w:snapToGrid/>
        <w:spacing w:before="0" w:after="0" w:line="357" w:lineRule="exact"/>
        <w:ind w:right="0" w:rightChars="0"/>
        <w:jc w:val="left"/>
        <w:textAlignment w:val="auto"/>
        <w:rPr>
          <w:rFonts w:hint="eastAsia" w:ascii="仿宋" w:hAnsi="仿宋" w:eastAsia="仿宋" w:cs="仿宋"/>
          <w:color w:val="auto"/>
          <w:spacing w:val="0"/>
          <w:w w:val="100"/>
          <w:position w:val="0"/>
          <w:sz w:val="28"/>
          <w:szCs w:val="28"/>
        </w:rPr>
      </w:pPr>
      <w:r>
        <w:rPr>
          <w:rFonts w:hint="eastAsia" w:ascii="仿宋" w:hAnsi="仿宋" w:eastAsia="仿宋" w:cs="仿宋"/>
          <w:color w:val="auto"/>
          <w:spacing w:val="0"/>
          <w:w w:val="100"/>
          <w:position w:val="0"/>
          <w:sz w:val="28"/>
          <w:szCs w:val="28"/>
          <w:lang w:val="en-US" w:eastAsia="zh-CN"/>
        </w:rPr>
        <w:t>3.</w:t>
      </w:r>
      <w:r>
        <w:rPr>
          <w:rFonts w:hint="eastAsia" w:ascii="仿宋" w:hAnsi="仿宋" w:eastAsia="仿宋" w:cs="仿宋"/>
          <w:color w:val="auto"/>
          <w:spacing w:val="0"/>
          <w:w w:val="100"/>
          <w:position w:val="0"/>
          <w:sz w:val="28"/>
          <w:szCs w:val="28"/>
        </w:rPr>
        <w:t>如果不提供详细的分项报价表将被视为没有实质性</w:t>
      </w:r>
      <w:r>
        <w:rPr>
          <w:rFonts w:hint="eastAsia" w:ascii="仿宋" w:hAnsi="仿宋" w:eastAsia="仿宋" w:cs="仿宋"/>
          <w:color w:val="auto"/>
          <w:spacing w:val="0"/>
          <w:w w:val="100"/>
          <w:position w:val="0"/>
          <w:sz w:val="28"/>
          <w:szCs w:val="28"/>
          <w:lang w:eastAsia="zh-CN"/>
        </w:rPr>
        <w:t>响应文件</w:t>
      </w:r>
      <w:r>
        <w:rPr>
          <w:rFonts w:hint="eastAsia" w:ascii="仿宋" w:hAnsi="仿宋" w:eastAsia="仿宋" w:cs="仿宋"/>
          <w:color w:val="auto"/>
          <w:spacing w:val="0"/>
          <w:w w:val="100"/>
          <w:position w:val="0"/>
          <w:sz w:val="28"/>
          <w:szCs w:val="28"/>
        </w:rPr>
        <w:t>。</w:t>
      </w:r>
    </w:p>
    <w:p w14:paraId="4EA8E4BE">
      <w:pPr>
        <w:pStyle w:val="30"/>
        <w:keepNext w:val="0"/>
        <w:keepLines w:val="0"/>
        <w:pageBreakBefore w:val="0"/>
        <w:widowControl w:val="0"/>
        <w:numPr>
          <w:ilvl w:val="0"/>
          <w:numId w:val="0"/>
        </w:numPr>
        <w:shd w:val="clear" w:color="auto" w:fill="auto"/>
        <w:tabs>
          <w:tab w:val="left" w:pos="409"/>
          <w:tab w:val="left" w:pos="490"/>
        </w:tabs>
        <w:kinsoku/>
        <w:wordWrap/>
        <w:overflowPunct/>
        <w:topLinePunct w:val="0"/>
        <w:autoSpaceDE/>
        <w:autoSpaceDN/>
        <w:bidi w:val="0"/>
        <w:adjustRightInd/>
        <w:snapToGrid/>
        <w:spacing w:before="0" w:after="0" w:line="357" w:lineRule="exact"/>
        <w:ind w:right="0" w:rightChars="0"/>
        <w:jc w:val="left"/>
        <w:textAlignment w:val="auto"/>
        <w:rPr>
          <w:rFonts w:hint="eastAsia" w:ascii="仿宋" w:hAnsi="仿宋" w:eastAsia="仿宋" w:cs="仿宋"/>
          <w:color w:val="auto"/>
          <w:spacing w:val="0"/>
          <w:w w:val="100"/>
          <w:position w:val="0"/>
          <w:sz w:val="28"/>
          <w:szCs w:val="28"/>
        </w:rPr>
      </w:pPr>
      <w:r>
        <w:rPr>
          <w:rFonts w:hint="eastAsia" w:ascii="仿宋" w:hAnsi="仿宋" w:eastAsia="仿宋" w:cs="仿宋"/>
          <w:color w:val="auto"/>
          <w:spacing w:val="0"/>
          <w:w w:val="100"/>
          <w:position w:val="0"/>
          <w:sz w:val="28"/>
          <w:szCs w:val="28"/>
          <w:lang w:val="en-US" w:eastAsia="zh-CN"/>
        </w:rPr>
        <w:t>4.</w:t>
      </w:r>
      <w:r>
        <w:rPr>
          <w:rFonts w:hint="eastAsia" w:ascii="仿宋" w:hAnsi="仿宋" w:eastAsia="仿宋" w:cs="仿宋"/>
          <w:color w:val="auto"/>
          <w:spacing w:val="0"/>
          <w:w w:val="100"/>
          <w:position w:val="0"/>
          <w:sz w:val="28"/>
          <w:szCs w:val="28"/>
        </w:rPr>
        <w:t>投标人必须按此表格式中的对应栏目内容填写，若需增加栏目，请在栏目</w:t>
      </w:r>
      <w:r>
        <w:rPr>
          <w:rFonts w:hint="eastAsia" w:ascii="仿宋" w:hAnsi="仿宋" w:eastAsia="仿宋" w:cs="仿宋"/>
          <w:color w:val="auto"/>
          <w:spacing w:val="0"/>
          <w:w w:val="100"/>
          <w:position w:val="0"/>
          <w:sz w:val="28"/>
          <w:szCs w:val="28"/>
          <w:lang w:val="zh-CN" w:eastAsia="zh-CN" w:bidi="zh-CN"/>
        </w:rPr>
        <w:t>“其</w:t>
      </w:r>
      <w:r>
        <w:rPr>
          <w:rFonts w:hint="eastAsia" w:ascii="仿宋" w:hAnsi="仿宋" w:eastAsia="仿宋" w:cs="仿宋"/>
          <w:color w:val="auto"/>
          <w:spacing w:val="0"/>
          <w:w w:val="100"/>
          <w:position w:val="0"/>
          <w:sz w:val="28"/>
          <w:szCs w:val="28"/>
        </w:rPr>
        <w:t>它”中填写，并作详细说明。</w:t>
      </w:r>
    </w:p>
    <w:p w14:paraId="34DB1260">
      <w:pPr>
        <w:pStyle w:val="7"/>
        <w:numPr>
          <w:ilvl w:val="0"/>
          <w:numId w:val="0"/>
        </w:numPr>
        <w:tabs>
          <w:tab w:val="left" w:pos="8227"/>
          <w:tab w:val="clear" w:pos="780"/>
        </w:tabs>
        <w:kinsoku w:val="0"/>
        <w:overflowPunct w:val="0"/>
        <w:spacing w:line="381" w:lineRule="auto"/>
        <w:ind w:left="1680" w:leftChars="0" w:right="118" w:rightChars="0"/>
        <w:rPr>
          <w:rFonts w:hint="eastAsia" w:ascii="仿宋" w:hAnsi="仿宋" w:eastAsia="仿宋" w:cs="仿宋"/>
          <w:color w:val="auto"/>
          <w:sz w:val="28"/>
          <w:szCs w:val="28"/>
        </w:rPr>
      </w:pPr>
      <w:r>
        <w:rPr>
          <w:rFonts w:hint="eastAsia" w:ascii="仿宋" w:hAnsi="仿宋" w:eastAsia="仿宋" w:cs="仿宋"/>
          <w:color w:val="auto"/>
          <w:sz w:val="28"/>
          <w:szCs w:val="28"/>
        </w:rPr>
        <w:t>投标人：</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w w:val="95"/>
          <w:sz w:val="28"/>
          <w:szCs w:val="28"/>
        </w:rPr>
        <w:t>（盖章）</w:t>
      </w:r>
      <w:r>
        <w:rPr>
          <w:rFonts w:hint="eastAsia" w:ascii="仿宋" w:hAnsi="仿宋" w:eastAsia="仿宋" w:cs="仿宋"/>
          <w:color w:val="auto"/>
          <w:sz w:val="28"/>
          <w:szCs w:val="28"/>
        </w:rPr>
        <w:t xml:space="preserve"> </w:t>
      </w:r>
    </w:p>
    <w:p w14:paraId="42047D54">
      <w:pPr>
        <w:pStyle w:val="7"/>
        <w:numPr>
          <w:ilvl w:val="0"/>
          <w:numId w:val="0"/>
        </w:numPr>
        <w:tabs>
          <w:tab w:val="left" w:pos="8227"/>
          <w:tab w:val="clear" w:pos="780"/>
        </w:tabs>
        <w:kinsoku w:val="0"/>
        <w:overflowPunct w:val="0"/>
        <w:spacing w:line="381" w:lineRule="auto"/>
        <w:ind w:left="1680" w:leftChars="0" w:right="118" w:rightChars="0"/>
        <w:rPr>
          <w:rFonts w:hint="eastAsia" w:ascii="仿宋" w:hAnsi="仿宋" w:eastAsia="仿宋" w:cs="仿宋"/>
          <w:color w:val="auto"/>
          <w:w w:val="95"/>
          <w:sz w:val="28"/>
          <w:szCs w:val="28"/>
        </w:rPr>
      </w:pPr>
      <w:r>
        <w:rPr>
          <w:rFonts w:hint="eastAsia" w:ascii="仿宋" w:hAnsi="仿宋" w:eastAsia="仿宋" w:cs="仿宋"/>
          <w:color w:val="auto"/>
          <w:sz w:val="28"/>
          <w:szCs w:val="28"/>
        </w:rPr>
        <w:t>法定代表人或被授权人：</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w w:val="95"/>
          <w:sz w:val="28"/>
          <w:szCs w:val="28"/>
        </w:rPr>
        <w:t>（</w:t>
      </w:r>
      <w:r>
        <w:rPr>
          <w:rFonts w:hint="eastAsia" w:ascii="仿宋" w:hAnsi="仿宋" w:eastAsia="仿宋" w:cs="仿宋"/>
          <w:color w:val="auto"/>
          <w:w w:val="95"/>
          <w:sz w:val="28"/>
          <w:szCs w:val="28"/>
          <w:lang w:eastAsia="zh-CN"/>
        </w:rPr>
        <w:t>签字或盖章</w:t>
      </w:r>
      <w:r>
        <w:rPr>
          <w:rFonts w:hint="eastAsia" w:ascii="仿宋" w:hAnsi="仿宋" w:eastAsia="仿宋" w:cs="仿宋"/>
          <w:color w:val="auto"/>
          <w:w w:val="95"/>
          <w:sz w:val="28"/>
          <w:szCs w:val="28"/>
        </w:rPr>
        <w:t>）</w:t>
      </w:r>
    </w:p>
    <w:p w14:paraId="3DD55385">
      <w:pPr>
        <w:pStyle w:val="7"/>
        <w:numPr>
          <w:ilvl w:val="0"/>
          <w:numId w:val="0"/>
        </w:numPr>
        <w:tabs>
          <w:tab w:val="left" w:pos="5551"/>
          <w:tab w:val="left" w:pos="6511"/>
          <w:tab w:val="left" w:pos="7111"/>
          <w:tab w:val="left" w:pos="7711"/>
          <w:tab w:val="clear" w:pos="780"/>
        </w:tabs>
        <w:kinsoku w:val="0"/>
        <w:overflowPunct w:val="0"/>
        <w:spacing w:before="46"/>
        <w:ind w:left="3928" w:leftChars="0" w:right="0" w:rightChars="0"/>
        <w:rPr>
          <w:rFonts w:hint="eastAsia" w:ascii="仿宋" w:hAnsi="仿宋" w:eastAsia="仿宋" w:cs="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日</w:t>
      </w:r>
    </w:p>
    <w:p w14:paraId="12587806">
      <w:pPr>
        <w:pStyle w:val="26"/>
        <w:keepNext/>
        <w:keepLines/>
        <w:widowControl w:val="0"/>
        <w:numPr>
          <w:ilvl w:val="0"/>
          <w:numId w:val="0"/>
        </w:numPr>
        <w:shd w:val="clear" w:color="auto" w:fill="auto"/>
        <w:bidi w:val="0"/>
        <w:spacing w:before="0" w:after="220" w:line="240" w:lineRule="auto"/>
        <w:ind w:right="0" w:rightChars="0"/>
        <w:jc w:val="center"/>
        <w:rPr>
          <w:rFonts w:hint="eastAsia" w:ascii="仿宋" w:hAnsi="仿宋" w:eastAsia="仿宋" w:cs="仿宋"/>
          <w:b/>
          <w:bCs/>
          <w:color w:val="auto"/>
          <w:spacing w:val="0"/>
          <w:w w:val="100"/>
          <w:position w:val="0"/>
          <w:sz w:val="28"/>
          <w:szCs w:val="28"/>
          <w:lang w:val="en-US" w:eastAsia="zh-CN"/>
        </w:rPr>
      </w:pPr>
      <w:r>
        <w:rPr>
          <w:rFonts w:hint="eastAsia" w:ascii="仿宋" w:hAnsi="仿宋" w:eastAsia="仿宋" w:cs="仿宋"/>
          <w:b/>
          <w:bCs/>
          <w:color w:val="auto"/>
          <w:spacing w:val="0"/>
          <w:w w:val="100"/>
          <w:position w:val="0"/>
          <w:sz w:val="28"/>
          <w:szCs w:val="28"/>
          <w:lang w:val="en-US" w:eastAsia="zh-CN"/>
        </w:rPr>
        <w:t>5、技术条款偏离表</w:t>
      </w:r>
    </w:p>
    <w:tbl>
      <w:tblPr>
        <w:tblStyle w:val="17"/>
        <w:tblW w:w="88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5"/>
        <w:gridCol w:w="1357"/>
        <w:gridCol w:w="1326"/>
        <w:gridCol w:w="1326"/>
        <w:gridCol w:w="1326"/>
        <w:gridCol w:w="1327"/>
        <w:gridCol w:w="1327"/>
      </w:tblGrid>
      <w:tr w14:paraId="6E2BBE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noWrap w:val="0"/>
            <w:vAlign w:val="center"/>
          </w:tcPr>
          <w:p w14:paraId="423A95FE">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rPr>
              <w:t>序号</w:t>
            </w:r>
          </w:p>
        </w:tc>
        <w:tc>
          <w:tcPr>
            <w:tcW w:w="1357" w:type="dxa"/>
            <w:noWrap w:val="0"/>
            <w:vAlign w:val="center"/>
          </w:tcPr>
          <w:p w14:paraId="16ED9875">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rPr>
              <w:t>货物名称</w:t>
            </w:r>
          </w:p>
        </w:tc>
        <w:tc>
          <w:tcPr>
            <w:tcW w:w="1326" w:type="dxa"/>
            <w:noWrap w:val="0"/>
            <w:vAlign w:val="center"/>
          </w:tcPr>
          <w:p w14:paraId="1E63677D">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谈判文件</w:t>
            </w:r>
            <w:r>
              <w:rPr>
                <w:rFonts w:hint="eastAsia" w:ascii="仿宋" w:hAnsi="仿宋" w:eastAsia="仿宋" w:cs="仿宋"/>
                <w:bCs/>
                <w:color w:val="auto"/>
                <w:sz w:val="28"/>
                <w:szCs w:val="28"/>
              </w:rPr>
              <w:t>条目号</w:t>
            </w:r>
          </w:p>
        </w:tc>
        <w:tc>
          <w:tcPr>
            <w:tcW w:w="1326" w:type="dxa"/>
            <w:noWrap w:val="0"/>
            <w:vAlign w:val="center"/>
          </w:tcPr>
          <w:p w14:paraId="7B8CC510">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谈判文件</w:t>
            </w:r>
            <w:r>
              <w:rPr>
                <w:rFonts w:hint="eastAsia" w:ascii="仿宋" w:hAnsi="仿宋" w:eastAsia="仿宋" w:cs="仿宋"/>
                <w:bCs/>
                <w:color w:val="auto"/>
                <w:sz w:val="28"/>
                <w:szCs w:val="28"/>
              </w:rPr>
              <w:t>要求规格</w:t>
            </w:r>
          </w:p>
        </w:tc>
        <w:tc>
          <w:tcPr>
            <w:tcW w:w="1326" w:type="dxa"/>
            <w:noWrap w:val="0"/>
            <w:vAlign w:val="center"/>
          </w:tcPr>
          <w:p w14:paraId="237B4E26">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rPr>
              <w:t>投标规格</w:t>
            </w:r>
          </w:p>
        </w:tc>
        <w:tc>
          <w:tcPr>
            <w:tcW w:w="1327" w:type="dxa"/>
            <w:noWrap w:val="0"/>
            <w:vAlign w:val="center"/>
          </w:tcPr>
          <w:p w14:paraId="6B39A589">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rPr>
              <w:t>偏离</w:t>
            </w:r>
          </w:p>
        </w:tc>
        <w:tc>
          <w:tcPr>
            <w:tcW w:w="1327" w:type="dxa"/>
            <w:noWrap w:val="0"/>
            <w:vAlign w:val="center"/>
          </w:tcPr>
          <w:p w14:paraId="487644A6">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rPr>
              <w:t>说明</w:t>
            </w:r>
          </w:p>
        </w:tc>
      </w:tr>
      <w:tr w14:paraId="79E53E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noWrap w:val="0"/>
            <w:vAlign w:val="top"/>
          </w:tcPr>
          <w:p w14:paraId="72EC6CF0">
            <w:pPr>
              <w:jc w:val="center"/>
              <w:rPr>
                <w:rFonts w:hint="eastAsia" w:ascii="仿宋" w:hAnsi="仿宋" w:eastAsia="仿宋" w:cs="仿宋"/>
                <w:b/>
                <w:bCs/>
                <w:color w:val="auto"/>
                <w:sz w:val="28"/>
                <w:szCs w:val="28"/>
              </w:rPr>
            </w:pPr>
          </w:p>
        </w:tc>
        <w:tc>
          <w:tcPr>
            <w:tcW w:w="1357" w:type="dxa"/>
            <w:noWrap w:val="0"/>
            <w:vAlign w:val="top"/>
          </w:tcPr>
          <w:p w14:paraId="29958A69">
            <w:pPr>
              <w:jc w:val="center"/>
              <w:rPr>
                <w:rFonts w:hint="eastAsia" w:ascii="仿宋" w:hAnsi="仿宋" w:eastAsia="仿宋" w:cs="仿宋"/>
                <w:b/>
                <w:bCs/>
                <w:color w:val="auto"/>
                <w:sz w:val="28"/>
                <w:szCs w:val="28"/>
              </w:rPr>
            </w:pPr>
          </w:p>
        </w:tc>
        <w:tc>
          <w:tcPr>
            <w:tcW w:w="1326" w:type="dxa"/>
            <w:noWrap w:val="0"/>
            <w:vAlign w:val="top"/>
          </w:tcPr>
          <w:p w14:paraId="02E1D127">
            <w:pPr>
              <w:jc w:val="center"/>
              <w:rPr>
                <w:rFonts w:hint="eastAsia" w:ascii="仿宋" w:hAnsi="仿宋" w:eastAsia="仿宋" w:cs="仿宋"/>
                <w:b/>
                <w:bCs/>
                <w:color w:val="auto"/>
                <w:sz w:val="28"/>
                <w:szCs w:val="28"/>
              </w:rPr>
            </w:pPr>
          </w:p>
        </w:tc>
        <w:tc>
          <w:tcPr>
            <w:tcW w:w="1326" w:type="dxa"/>
            <w:noWrap w:val="0"/>
            <w:vAlign w:val="top"/>
          </w:tcPr>
          <w:p w14:paraId="0B527BD7">
            <w:pPr>
              <w:jc w:val="center"/>
              <w:rPr>
                <w:rFonts w:hint="eastAsia" w:ascii="仿宋" w:hAnsi="仿宋" w:eastAsia="仿宋" w:cs="仿宋"/>
                <w:b/>
                <w:bCs/>
                <w:color w:val="auto"/>
                <w:sz w:val="28"/>
                <w:szCs w:val="28"/>
              </w:rPr>
            </w:pPr>
          </w:p>
        </w:tc>
        <w:tc>
          <w:tcPr>
            <w:tcW w:w="1326" w:type="dxa"/>
            <w:noWrap w:val="0"/>
            <w:vAlign w:val="top"/>
          </w:tcPr>
          <w:p w14:paraId="66231451">
            <w:pPr>
              <w:jc w:val="center"/>
              <w:rPr>
                <w:rFonts w:hint="eastAsia" w:ascii="仿宋" w:hAnsi="仿宋" w:eastAsia="仿宋" w:cs="仿宋"/>
                <w:b/>
                <w:bCs/>
                <w:color w:val="auto"/>
                <w:sz w:val="28"/>
                <w:szCs w:val="28"/>
              </w:rPr>
            </w:pPr>
          </w:p>
        </w:tc>
        <w:tc>
          <w:tcPr>
            <w:tcW w:w="1327" w:type="dxa"/>
            <w:noWrap w:val="0"/>
            <w:vAlign w:val="top"/>
          </w:tcPr>
          <w:p w14:paraId="632DD9C4">
            <w:pPr>
              <w:jc w:val="center"/>
              <w:rPr>
                <w:rFonts w:hint="eastAsia" w:ascii="仿宋" w:hAnsi="仿宋" w:eastAsia="仿宋" w:cs="仿宋"/>
                <w:b/>
                <w:bCs/>
                <w:color w:val="auto"/>
                <w:sz w:val="28"/>
                <w:szCs w:val="28"/>
              </w:rPr>
            </w:pPr>
            <w:r>
              <w:rPr>
                <w:rFonts w:hint="eastAsia" w:ascii="仿宋" w:hAnsi="仿宋" w:eastAsia="仿宋" w:cs="仿宋"/>
                <w:bCs/>
                <w:color w:val="auto"/>
                <w:sz w:val="28"/>
                <w:szCs w:val="28"/>
                <w:lang w:val="en-US" w:eastAsia="zh-CN"/>
              </w:rPr>
              <w:t>如有正偏离需提供证明材料，证明材料附后(并注明页码)</w:t>
            </w:r>
          </w:p>
        </w:tc>
        <w:tc>
          <w:tcPr>
            <w:tcW w:w="1327" w:type="dxa"/>
            <w:noWrap w:val="0"/>
            <w:vAlign w:val="top"/>
          </w:tcPr>
          <w:p w14:paraId="1315604F">
            <w:pPr>
              <w:jc w:val="center"/>
              <w:rPr>
                <w:rFonts w:hint="eastAsia" w:ascii="仿宋" w:hAnsi="仿宋" w:eastAsia="仿宋" w:cs="仿宋"/>
                <w:b/>
                <w:bCs/>
                <w:color w:val="auto"/>
                <w:sz w:val="28"/>
                <w:szCs w:val="28"/>
              </w:rPr>
            </w:pPr>
          </w:p>
        </w:tc>
      </w:tr>
      <w:tr w14:paraId="6CE14C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noWrap w:val="0"/>
            <w:vAlign w:val="top"/>
          </w:tcPr>
          <w:p w14:paraId="3AB59E33">
            <w:pPr>
              <w:jc w:val="center"/>
              <w:rPr>
                <w:rFonts w:hint="eastAsia" w:ascii="仿宋" w:hAnsi="仿宋" w:eastAsia="仿宋" w:cs="仿宋"/>
                <w:b/>
                <w:bCs/>
                <w:color w:val="auto"/>
                <w:sz w:val="28"/>
                <w:szCs w:val="28"/>
              </w:rPr>
            </w:pPr>
          </w:p>
        </w:tc>
        <w:tc>
          <w:tcPr>
            <w:tcW w:w="1357" w:type="dxa"/>
            <w:noWrap w:val="0"/>
            <w:vAlign w:val="top"/>
          </w:tcPr>
          <w:p w14:paraId="1FA6E414">
            <w:pPr>
              <w:jc w:val="center"/>
              <w:rPr>
                <w:rFonts w:hint="eastAsia" w:ascii="仿宋" w:hAnsi="仿宋" w:eastAsia="仿宋" w:cs="仿宋"/>
                <w:b/>
                <w:bCs/>
                <w:color w:val="auto"/>
                <w:sz w:val="28"/>
                <w:szCs w:val="28"/>
              </w:rPr>
            </w:pPr>
          </w:p>
        </w:tc>
        <w:tc>
          <w:tcPr>
            <w:tcW w:w="1326" w:type="dxa"/>
            <w:noWrap w:val="0"/>
            <w:vAlign w:val="top"/>
          </w:tcPr>
          <w:p w14:paraId="222EC300">
            <w:pPr>
              <w:jc w:val="center"/>
              <w:rPr>
                <w:rFonts w:hint="eastAsia" w:ascii="仿宋" w:hAnsi="仿宋" w:eastAsia="仿宋" w:cs="仿宋"/>
                <w:b/>
                <w:bCs/>
                <w:color w:val="auto"/>
                <w:sz w:val="28"/>
                <w:szCs w:val="28"/>
              </w:rPr>
            </w:pPr>
          </w:p>
        </w:tc>
        <w:tc>
          <w:tcPr>
            <w:tcW w:w="1326" w:type="dxa"/>
            <w:noWrap w:val="0"/>
            <w:vAlign w:val="top"/>
          </w:tcPr>
          <w:p w14:paraId="5A142145">
            <w:pPr>
              <w:jc w:val="center"/>
              <w:rPr>
                <w:rFonts w:hint="eastAsia" w:ascii="仿宋" w:hAnsi="仿宋" w:eastAsia="仿宋" w:cs="仿宋"/>
                <w:b/>
                <w:bCs/>
                <w:color w:val="auto"/>
                <w:sz w:val="28"/>
                <w:szCs w:val="28"/>
              </w:rPr>
            </w:pPr>
          </w:p>
        </w:tc>
        <w:tc>
          <w:tcPr>
            <w:tcW w:w="1326" w:type="dxa"/>
            <w:noWrap w:val="0"/>
            <w:vAlign w:val="top"/>
          </w:tcPr>
          <w:p w14:paraId="1A1FFA2C">
            <w:pPr>
              <w:jc w:val="center"/>
              <w:rPr>
                <w:rFonts w:hint="eastAsia" w:ascii="仿宋" w:hAnsi="仿宋" w:eastAsia="仿宋" w:cs="仿宋"/>
                <w:b/>
                <w:bCs/>
                <w:color w:val="auto"/>
                <w:sz w:val="28"/>
                <w:szCs w:val="28"/>
              </w:rPr>
            </w:pPr>
          </w:p>
        </w:tc>
        <w:tc>
          <w:tcPr>
            <w:tcW w:w="1327" w:type="dxa"/>
            <w:noWrap w:val="0"/>
            <w:vAlign w:val="top"/>
          </w:tcPr>
          <w:p w14:paraId="1CDB42F1">
            <w:pPr>
              <w:jc w:val="center"/>
              <w:rPr>
                <w:rFonts w:hint="eastAsia" w:ascii="仿宋" w:hAnsi="仿宋" w:eastAsia="仿宋" w:cs="仿宋"/>
                <w:b/>
                <w:bCs/>
                <w:color w:val="auto"/>
                <w:sz w:val="28"/>
                <w:szCs w:val="28"/>
              </w:rPr>
            </w:pPr>
          </w:p>
        </w:tc>
        <w:tc>
          <w:tcPr>
            <w:tcW w:w="1327" w:type="dxa"/>
            <w:noWrap w:val="0"/>
            <w:vAlign w:val="top"/>
          </w:tcPr>
          <w:p w14:paraId="795966F2">
            <w:pPr>
              <w:jc w:val="center"/>
              <w:rPr>
                <w:rFonts w:hint="eastAsia" w:ascii="仿宋" w:hAnsi="仿宋" w:eastAsia="仿宋" w:cs="仿宋"/>
                <w:b/>
                <w:bCs/>
                <w:color w:val="auto"/>
                <w:sz w:val="28"/>
                <w:szCs w:val="28"/>
              </w:rPr>
            </w:pPr>
          </w:p>
        </w:tc>
      </w:tr>
      <w:tr w14:paraId="4B524C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noWrap w:val="0"/>
            <w:vAlign w:val="top"/>
          </w:tcPr>
          <w:p w14:paraId="3B441436">
            <w:pPr>
              <w:jc w:val="center"/>
              <w:rPr>
                <w:rFonts w:hint="eastAsia" w:ascii="仿宋" w:hAnsi="仿宋" w:eastAsia="仿宋" w:cs="仿宋"/>
                <w:b/>
                <w:bCs/>
                <w:color w:val="auto"/>
                <w:sz w:val="28"/>
                <w:szCs w:val="28"/>
              </w:rPr>
            </w:pPr>
          </w:p>
        </w:tc>
        <w:tc>
          <w:tcPr>
            <w:tcW w:w="1357" w:type="dxa"/>
            <w:noWrap w:val="0"/>
            <w:vAlign w:val="top"/>
          </w:tcPr>
          <w:p w14:paraId="311F5475">
            <w:pPr>
              <w:jc w:val="center"/>
              <w:rPr>
                <w:rFonts w:hint="eastAsia" w:ascii="仿宋" w:hAnsi="仿宋" w:eastAsia="仿宋" w:cs="仿宋"/>
                <w:b/>
                <w:bCs/>
                <w:color w:val="auto"/>
                <w:sz w:val="28"/>
                <w:szCs w:val="28"/>
              </w:rPr>
            </w:pPr>
          </w:p>
        </w:tc>
        <w:tc>
          <w:tcPr>
            <w:tcW w:w="1326" w:type="dxa"/>
            <w:noWrap w:val="0"/>
            <w:vAlign w:val="top"/>
          </w:tcPr>
          <w:p w14:paraId="4B8536E5">
            <w:pPr>
              <w:jc w:val="center"/>
              <w:rPr>
                <w:rFonts w:hint="eastAsia" w:ascii="仿宋" w:hAnsi="仿宋" w:eastAsia="仿宋" w:cs="仿宋"/>
                <w:b/>
                <w:bCs/>
                <w:color w:val="auto"/>
                <w:sz w:val="28"/>
                <w:szCs w:val="28"/>
              </w:rPr>
            </w:pPr>
          </w:p>
        </w:tc>
        <w:tc>
          <w:tcPr>
            <w:tcW w:w="1326" w:type="dxa"/>
            <w:noWrap w:val="0"/>
            <w:vAlign w:val="top"/>
          </w:tcPr>
          <w:p w14:paraId="055ECC51">
            <w:pPr>
              <w:jc w:val="center"/>
              <w:rPr>
                <w:rFonts w:hint="eastAsia" w:ascii="仿宋" w:hAnsi="仿宋" w:eastAsia="仿宋" w:cs="仿宋"/>
                <w:b/>
                <w:bCs/>
                <w:color w:val="auto"/>
                <w:sz w:val="28"/>
                <w:szCs w:val="28"/>
              </w:rPr>
            </w:pPr>
          </w:p>
        </w:tc>
        <w:tc>
          <w:tcPr>
            <w:tcW w:w="1326" w:type="dxa"/>
            <w:noWrap w:val="0"/>
            <w:vAlign w:val="top"/>
          </w:tcPr>
          <w:p w14:paraId="18D48EA3">
            <w:pPr>
              <w:jc w:val="center"/>
              <w:rPr>
                <w:rFonts w:hint="eastAsia" w:ascii="仿宋" w:hAnsi="仿宋" w:eastAsia="仿宋" w:cs="仿宋"/>
                <w:b/>
                <w:bCs/>
                <w:color w:val="auto"/>
                <w:sz w:val="28"/>
                <w:szCs w:val="28"/>
              </w:rPr>
            </w:pPr>
          </w:p>
        </w:tc>
        <w:tc>
          <w:tcPr>
            <w:tcW w:w="1327" w:type="dxa"/>
            <w:noWrap w:val="0"/>
            <w:vAlign w:val="top"/>
          </w:tcPr>
          <w:p w14:paraId="5D397ECD">
            <w:pPr>
              <w:jc w:val="center"/>
              <w:rPr>
                <w:rFonts w:hint="eastAsia" w:ascii="仿宋" w:hAnsi="仿宋" w:eastAsia="仿宋" w:cs="仿宋"/>
                <w:b/>
                <w:bCs/>
                <w:color w:val="auto"/>
                <w:sz w:val="28"/>
                <w:szCs w:val="28"/>
              </w:rPr>
            </w:pPr>
          </w:p>
        </w:tc>
        <w:tc>
          <w:tcPr>
            <w:tcW w:w="1327" w:type="dxa"/>
            <w:noWrap w:val="0"/>
            <w:vAlign w:val="top"/>
          </w:tcPr>
          <w:p w14:paraId="7EA1B889">
            <w:pPr>
              <w:jc w:val="center"/>
              <w:rPr>
                <w:rFonts w:hint="eastAsia" w:ascii="仿宋" w:hAnsi="仿宋" w:eastAsia="仿宋" w:cs="仿宋"/>
                <w:b/>
                <w:bCs/>
                <w:color w:val="auto"/>
                <w:sz w:val="28"/>
                <w:szCs w:val="28"/>
              </w:rPr>
            </w:pPr>
          </w:p>
        </w:tc>
      </w:tr>
    </w:tbl>
    <w:p w14:paraId="2C5F386B">
      <w:pPr>
        <w:spacing w:line="360" w:lineRule="auto"/>
        <w:ind w:firstLine="554" w:firstLineChars="198"/>
        <w:jc w:val="left"/>
        <w:rPr>
          <w:rFonts w:hint="eastAsia" w:ascii="仿宋" w:hAnsi="仿宋" w:eastAsia="仿宋" w:cs="仿宋"/>
          <w:color w:val="auto"/>
          <w:sz w:val="28"/>
          <w:szCs w:val="28"/>
        </w:rPr>
      </w:pPr>
      <w:r>
        <w:rPr>
          <w:rFonts w:hint="eastAsia" w:ascii="仿宋" w:hAnsi="仿宋" w:eastAsia="仿宋" w:cs="仿宋"/>
          <w:color w:val="auto"/>
          <w:sz w:val="28"/>
          <w:szCs w:val="28"/>
        </w:rPr>
        <w:t>备注：投标人应根据其提供的货物，对照</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第四章“技术标准和要求”中的要求，有差异的，则在此表中列明实际响应的内容提要并加以说明，以便查对。本表包括所有的技术响应及差异。无差异说明表示完全响应。</w:t>
      </w:r>
    </w:p>
    <w:p w14:paraId="4FF5FD9A">
      <w:pPr>
        <w:pStyle w:val="9"/>
        <w:tabs>
          <w:tab w:val="left" w:pos="5580"/>
        </w:tabs>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投标人（盖章）：</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719B2509">
      <w:pPr>
        <w:pStyle w:val="9"/>
        <w:tabs>
          <w:tab w:val="left" w:pos="5580"/>
        </w:tabs>
        <w:spacing w:line="360" w:lineRule="auto"/>
        <w:jc w:val="both"/>
        <w:rPr>
          <w:rFonts w:hint="eastAsia" w:ascii="仿宋" w:hAnsi="仿宋" w:eastAsia="仿宋" w:cs="仿宋"/>
          <w:color w:val="auto"/>
          <w:kern w:val="0"/>
          <w:sz w:val="28"/>
          <w:szCs w:val="28"/>
          <w:u w:val="single"/>
          <w:lang w:val="en-US" w:eastAsia="zh-CN"/>
        </w:rPr>
      </w:pPr>
      <w:r>
        <w:rPr>
          <w:rFonts w:hint="eastAsia" w:ascii="仿宋" w:hAnsi="仿宋" w:eastAsia="仿宋" w:cs="仿宋"/>
          <w:color w:val="auto"/>
          <w:sz w:val="28"/>
          <w:szCs w:val="28"/>
          <w:lang w:eastAsia="zh-CN"/>
        </w:rPr>
        <w:t>法定代表人或</w:t>
      </w:r>
      <w:r>
        <w:rPr>
          <w:rFonts w:hint="eastAsia" w:ascii="仿宋" w:hAnsi="仿宋" w:eastAsia="仿宋" w:cs="仿宋"/>
          <w:color w:val="auto"/>
          <w:kern w:val="0"/>
          <w:sz w:val="28"/>
          <w:szCs w:val="28"/>
        </w:rPr>
        <w:t>委托代理人</w:t>
      </w:r>
      <w:r>
        <w:rPr>
          <w:rFonts w:hint="eastAsia" w:ascii="仿宋" w:hAnsi="仿宋" w:eastAsia="仿宋" w:cs="仿宋"/>
          <w:color w:val="auto"/>
          <w:sz w:val="28"/>
          <w:szCs w:val="28"/>
          <w:lang w:eastAsia="zh-CN"/>
        </w:rPr>
        <w:t>（签字或盖章）</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u w:val="single"/>
          <w:lang w:val="en-US" w:eastAsia="zh-CN"/>
        </w:rPr>
        <w:t xml:space="preserve">                   </w:t>
      </w:r>
    </w:p>
    <w:p w14:paraId="5ED3A1C0">
      <w:pPr>
        <w:keepNext w:val="0"/>
        <w:keepLines w:val="0"/>
        <w:pageBreakBefore w:val="0"/>
        <w:widowControl w:val="0"/>
        <w:kinsoku/>
        <w:wordWrap/>
        <w:overflowPunct/>
        <w:topLinePunct w:val="0"/>
        <w:autoSpaceDE/>
        <w:autoSpaceDN/>
        <w:bidi w:val="0"/>
        <w:adjustRightInd/>
        <w:snapToGrid/>
        <w:spacing w:line="360" w:lineRule="auto"/>
        <w:ind w:firstLine="3640" w:firstLineChars="13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日期：       年   月   日</w:t>
      </w:r>
    </w:p>
    <w:p w14:paraId="4DB21259">
      <w:pPr>
        <w:pStyle w:val="27"/>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b/>
          <w:bCs/>
          <w:color w:val="auto"/>
          <w:spacing w:val="0"/>
          <w:w w:val="100"/>
          <w:position w:val="0"/>
          <w:sz w:val="28"/>
          <w:szCs w:val="28"/>
          <w:lang w:val="en-US" w:eastAsia="zh-CN"/>
        </w:rPr>
      </w:pPr>
    </w:p>
    <w:p w14:paraId="6E6652C1">
      <w:pPr>
        <w:pStyle w:val="27"/>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b/>
          <w:bCs/>
          <w:color w:val="auto"/>
          <w:spacing w:val="0"/>
          <w:w w:val="100"/>
          <w:position w:val="0"/>
          <w:sz w:val="28"/>
          <w:szCs w:val="28"/>
          <w:lang w:eastAsia="zh-CN"/>
        </w:rPr>
      </w:pPr>
      <w:r>
        <w:rPr>
          <w:rFonts w:hint="eastAsia" w:ascii="仿宋" w:hAnsi="仿宋" w:eastAsia="仿宋" w:cs="仿宋"/>
          <w:b/>
          <w:bCs/>
          <w:color w:val="auto"/>
          <w:spacing w:val="0"/>
          <w:w w:val="100"/>
          <w:position w:val="0"/>
          <w:sz w:val="28"/>
          <w:szCs w:val="28"/>
          <w:lang w:val="en-US" w:eastAsia="zh-CN"/>
        </w:rPr>
        <w:t>6</w:t>
      </w:r>
      <w:r>
        <w:rPr>
          <w:rFonts w:hint="eastAsia" w:ascii="仿宋" w:hAnsi="仿宋" w:eastAsia="仿宋" w:cs="仿宋"/>
          <w:b/>
          <w:bCs/>
          <w:color w:val="auto"/>
          <w:spacing w:val="0"/>
          <w:w w:val="100"/>
          <w:position w:val="0"/>
          <w:sz w:val="28"/>
          <w:szCs w:val="28"/>
        </w:rPr>
        <w:t>、</w:t>
      </w:r>
      <w:r>
        <w:rPr>
          <w:rFonts w:hint="eastAsia" w:ascii="仿宋" w:hAnsi="仿宋" w:eastAsia="仿宋" w:cs="仿宋"/>
          <w:b/>
          <w:bCs/>
          <w:color w:val="auto"/>
          <w:spacing w:val="0"/>
          <w:w w:val="100"/>
          <w:position w:val="0"/>
          <w:sz w:val="28"/>
          <w:szCs w:val="28"/>
          <w:lang w:eastAsia="zh-CN"/>
        </w:rPr>
        <w:t>商务条款偏离表</w:t>
      </w:r>
    </w:p>
    <w:tbl>
      <w:tblPr>
        <w:tblStyle w:val="17"/>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54"/>
        <w:gridCol w:w="2477"/>
        <w:gridCol w:w="2454"/>
        <w:gridCol w:w="1130"/>
      </w:tblGrid>
      <w:tr w14:paraId="3A6DD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41E4BB5F">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序号</w:t>
            </w:r>
          </w:p>
        </w:tc>
        <w:tc>
          <w:tcPr>
            <w:tcW w:w="2154" w:type="dxa"/>
            <w:noWrap w:val="0"/>
            <w:vAlign w:val="top"/>
          </w:tcPr>
          <w:p w14:paraId="0788BDA7">
            <w:pPr>
              <w:pStyle w:val="9"/>
              <w:shd w:val="clear" w:color="auto" w:fill="auto"/>
              <w:spacing w:line="240" w:lineRule="atLeast"/>
              <w:ind w:left="0" w:leftChars="0" w:right="0" w:rightChars="0" w:firstLine="0" w:firstLineChars="0"/>
              <w:jc w:val="center"/>
              <w:rPr>
                <w:rFonts w:hint="eastAsia" w:ascii="仿宋" w:hAnsi="仿宋" w:eastAsia="仿宋" w:cs="仿宋"/>
                <w:color w:val="auto"/>
                <w:spacing w:val="-1"/>
                <w:kern w:val="0"/>
                <w:sz w:val="28"/>
                <w:szCs w:val="28"/>
              </w:rPr>
            </w:pPr>
            <w:r>
              <w:rPr>
                <w:rFonts w:hint="eastAsia" w:ascii="仿宋" w:hAnsi="仿宋" w:eastAsia="仿宋" w:cs="仿宋"/>
                <w:color w:val="auto"/>
                <w:sz w:val="28"/>
                <w:szCs w:val="28"/>
                <w:highlight w:val="none"/>
                <w:lang w:val="en-US" w:eastAsia="zh-CN"/>
              </w:rPr>
              <w:t>谈判文件条款号</w:t>
            </w:r>
          </w:p>
        </w:tc>
        <w:tc>
          <w:tcPr>
            <w:tcW w:w="2477" w:type="dxa"/>
            <w:noWrap w:val="0"/>
            <w:vAlign w:val="top"/>
          </w:tcPr>
          <w:p w14:paraId="0B5E216F">
            <w:pPr>
              <w:pStyle w:val="9"/>
              <w:shd w:val="clear" w:color="auto" w:fill="auto"/>
              <w:spacing w:line="240" w:lineRule="atLeast"/>
              <w:ind w:left="0" w:leftChars="0" w:right="0" w:rightChars="0" w:firstLine="0" w:firstLineChars="0"/>
              <w:jc w:val="center"/>
              <w:rPr>
                <w:rFonts w:hint="eastAsia" w:ascii="仿宋" w:hAnsi="仿宋" w:eastAsia="仿宋" w:cs="仿宋"/>
                <w:color w:val="auto"/>
                <w:spacing w:val="-1"/>
                <w:kern w:val="0"/>
                <w:sz w:val="28"/>
                <w:szCs w:val="28"/>
              </w:rPr>
            </w:pPr>
            <w:r>
              <w:rPr>
                <w:rFonts w:hint="eastAsia" w:ascii="仿宋" w:hAnsi="仿宋" w:eastAsia="仿宋" w:cs="仿宋"/>
                <w:color w:val="auto"/>
                <w:sz w:val="28"/>
                <w:szCs w:val="28"/>
                <w:highlight w:val="none"/>
                <w:lang w:val="en-US" w:eastAsia="zh-CN"/>
              </w:rPr>
              <w:t>谈判文件的商务条款</w:t>
            </w:r>
          </w:p>
        </w:tc>
        <w:tc>
          <w:tcPr>
            <w:tcW w:w="2454" w:type="dxa"/>
            <w:noWrap w:val="0"/>
            <w:vAlign w:val="top"/>
          </w:tcPr>
          <w:p w14:paraId="0D1B8DAE">
            <w:pPr>
              <w:pStyle w:val="9"/>
              <w:shd w:val="clear" w:color="auto" w:fill="auto"/>
              <w:spacing w:line="240" w:lineRule="atLeast"/>
              <w:ind w:left="0" w:leftChars="0" w:right="0" w:rightChars="0" w:firstLine="0" w:firstLineChars="0"/>
              <w:jc w:val="center"/>
              <w:rPr>
                <w:rFonts w:hint="eastAsia" w:ascii="仿宋" w:hAnsi="仿宋" w:eastAsia="仿宋" w:cs="仿宋"/>
                <w:color w:val="auto"/>
                <w:spacing w:val="-1"/>
                <w:kern w:val="0"/>
                <w:sz w:val="28"/>
                <w:szCs w:val="28"/>
              </w:rPr>
            </w:pPr>
            <w:r>
              <w:rPr>
                <w:rFonts w:hint="eastAsia" w:ascii="仿宋" w:hAnsi="仿宋" w:eastAsia="仿宋" w:cs="仿宋"/>
                <w:color w:val="auto"/>
                <w:sz w:val="28"/>
                <w:szCs w:val="28"/>
                <w:highlight w:val="none"/>
                <w:lang w:val="en-US" w:eastAsia="zh-CN"/>
              </w:rPr>
              <w:t>响应文件的商务条款</w:t>
            </w:r>
          </w:p>
        </w:tc>
        <w:tc>
          <w:tcPr>
            <w:tcW w:w="1130" w:type="dxa"/>
            <w:noWrap w:val="0"/>
            <w:vAlign w:val="top"/>
          </w:tcPr>
          <w:p w14:paraId="1E898D23">
            <w:pPr>
              <w:pStyle w:val="9"/>
              <w:shd w:val="clear" w:color="auto" w:fill="auto"/>
              <w:spacing w:line="240" w:lineRule="atLeast"/>
              <w:ind w:left="0" w:leftChars="0" w:right="0" w:rightChars="0" w:firstLine="0" w:firstLineChars="0"/>
              <w:jc w:val="center"/>
              <w:rPr>
                <w:rFonts w:hint="eastAsia" w:ascii="仿宋" w:hAnsi="仿宋" w:eastAsia="仿宋" w:cs="仿宋"/>
                <w:color w:val="auto"/>
                <w:spacing w:val="-1"/>
                <w:kern w:val="0"/>
                <w:sz w:val="28"/>
                <w:szCs w:val="28"/>
              </w:rPr>
            </w:pPr>
            <w:r>
              <w:rPr>
                <w:rFonts w:hint="eastAsia" w:ascii="仿宋" w:hAnsi="仿宋" w:eastAsia="仿宋" w:cs="仿宋"/>
                <w:color w:val="auto"/>
                <w:sz w:val="28"/>
                <w:szCs w:val="28"/>
                <w:highlight w:val="none"/>
                <w:lang w:val="en-US" w:eastAsia="zh-CN"/>
              </w:rPr>
              <w:t>说明</w:t>
            </w:r>
          </w:p>
        </w:tc>
      </w:tr>
      <w:tr w14:paraId="16F78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4341296A">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1</w:t>
            </w:r>
          </w:p>
        </w:tc>
        <w:tc>
          <w:tcPr>
            <w:tcW w:w="2154" w:type="dxa"/>
            <w:noWrap w:val="0"/>
            <w:vAlign w:val="center"/>
          </w:tcPr>
          <w:p w14:paraId="66F24C83">
            <w:pPr>
              <w:rPr>
                <w:rFonts w:hint="eastAsia" w:ascii="仿宋" w:hAnsi="仿宋" w:eastAsia="仿宋" w:cs="仿宋"/>
                <w:color w:val="auto"/>
                <w:spacing w:val="-1"/>
                <w:kern w:val="0"/>
                <w:sz w:val="28"/>
                <w:szCs w:val="28"/>
              </w:rPr>
            </w:pPr>
          </w:p>
        </w:tc>
        <w:tc>
          <w:tcPr>
            <w:tcW w:w="2477" w:type="dxa"/>
            <w:noWrap w:val="0"/>
            <w:vAlign w:val="center"/>
          </w:tcPr>
          <w:p w14:paraId="650DD9F3">
            <w:pPr>
              <w:rPr>
                <w:rFonts w:hint="eastAsia" w:ascii="仿宋" w:hAnsi="仿宋" w:eastAsia="仿宋" w:cs="仿宋"/>
                <w:color w:val="auto"/>
                <w:spacing w:val="-1"/>
                <w:kern w:val="0"/>
                <w:sz w:val="28"/>
                <w:szCs w:val="28"/>
              </w:rPr>
            </w:pPr>
          </w:p>
        </w:tc>
        <w:tc>
          <w:tcPr>
            <w:tcW w:w="2454" w:type="dxa"/>
            <w:noWrap w:val="0"/>
            <w:vAlign w:val="center"/>
          </w:tcPr>
          <w:p w14:paraId="2B599C8B">
            <w:pPr>
              <w:rPr>
                <w:rFonts w:hint="eastAsia" w:ascii="仿宋" w:hAnsi="仿宋" w:eastAsia="仿宋" w:cs="仿宋"/>
                <w:color w:val="auto"/>
                <w:spacing w:val="-1"/>
                <w:kern w:val="0"/>
                <w:sz w:val="28"/>
                <w:szCs w:val="28"/>
              </w:rPr>
            </w:pPr>
          </w:p>
        </w:tc>
        <w:tc>
          <w:tcPr>
            <w:tcW w:w="1130" w:type="dxa"/>
            <w:noWrap w:val="0"/>
            <w:vAlign w:val="center"/>
          </w:tcPr>
          <w:p w14:paraId="6B05AD98">
            <w:pPr>
              <w:rPr>
                <w:rFonts w:hint="eastAsia" w:ascii="仿宋" w:hAnsi="仿宋" w:eastAsia="仿宋" w:cs="仿宋"/>
                <w:color w:val="auto"/>
                <w:spacing w:val="-1"/>
                <w:kern w:val="0"/>
                <w:sz w:val="28"/>
                <w:szCs w:val="28"/>
              </w:rPr>
            </w:pPr>
          </w:p>
        </w:tc>
      </w:tr>
      <w:tr w14:paraId="2B256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4A841D31">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2</w:t>
            </w:r>
          </w:p>
        </w:tc>
        <w:tc>
          <w:tcPr>
            <w:tcW w:w="2154" w:type="dxa"/>
            <w:noWrap w:val="0"/>
            <w:vAlign w:val="center"/>
          </w:tcPr>
          <w:p w14:paraId="344C7BD7">
            <w:pPr>
              <w:rPr>
                <w:rFonts w:hint="eastAsia" w:ascii="仿宋" w:hAnsi="仿宋" w:eastAsia="仿宋" w:cs="仿宋"/>
                <w:color w:val="auto"/>
                <w:spacing w:val="-1"/>
                <w:kern w:val="0"/>
                <w:sz w:val="28"/>
                <w:szCs w:val="28"/>
              </w:rPr>
            </w:pPr>
          </w:p>
        </w:tc>
        <w:tc>
          <w:tcPr>
            <w:tcW w:w="2477" w:type="dxa"/>
            <w:noWrap w:val="0"/>
            <w:vAlign w:val="center"/>
          </w:tcPr>
          <w:p w14:paraId="57002E3A">
            <w:pPr>
              <w:rPr>
                <w:rFonts w:hint="eastAsia" w:ascii="仿宋" w:hAnsi="仿宋" w:eastAsia="仿宋" w:cs="仿宋"/>
                <w:color w:val="auto"/>
                <w:spacing w:val="-1"/>
                <w:kern w:val="0"/>
                <w:sz w:val="28"/>
                <w:szCs w:val="28"/>
              </w:rPr>
            </w:pPr>
          </w:p>
        </w:tc>
        <w:tc>
          <w:tcPr>
            <w:tcW w:w="2454" w:type="dxa"/>
            <w:noWrap w:val="0"/>
            <w:vAlign w:val="center"/>
          </w:tcPr>
          <w:p w14:paraId="0C27FDC1">
            <w:pPr>
              <w:rPr>
                <w:rFonts w:hint="eastAsia" w:ascii="仿宋" w:hAnsi="仿宋" w:eastAsia="仿宋" w:cs="仿宋"/>
                <w:color w:val="auto"/>
                <w:spacing w:val="-1"/>
                <w:kern w:val="0"/>
                <w:sz w:val="28"/>
                <w:szCs w:val="28"/>
              </w:rPr>
            </w:pPr>
          </w:p>
        </w:tc>
        <w:tc>
          <w:tcPr>
            <w:tcW w:w="1130" w:type="dxa"/>
            <w:noWrap w:val="0"/>
            <w:vAlign w:val="center"/>
          </w:tcPr>
          <w:p w14:paraId="5EC76369">
            <w:pPr>
              <w:rPr>
                <w:rFonts w:hint="eastAsia" w:ascii="仿宋" w:hAnsi="仿宋" w:eastAsia="仿宋" w:cs="仿宋"/>
                <w:color w:val="auto"/>
                <w:spacing w:val="-1"/>
                <w:kern w:val="0"/>
                <w:sz w:val="28"/>
                <w:szCs w:val="28"/>
              </w:rPr>
            </w:pPr>
          </w:p>
        </w:tc>
      </w:tr>
      <w:tr w14:paraId="78908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567A136F">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3</w:t>
            </w:r>
          </w:p>
        </w:tc>
        <w:tc>
          <w:tcPr>
            <w:tcW w:w="2154" w:type="dxa"/>
            <w:noWrap w:val="0"/>
            <w:vAlign w:val="center"/>
          </w:tcPr>
          <w:p w14:paraId="7CE68B58">
            <w:pPr>
              <w:rPr>
                <w:rFonts w:hint="eastAsia" w:ascii="仿宋" w:hAnsi="仿宋" w:eastAsia="仿宋" w:cs="仿宋"/>
                <w:color w:val="auto"/>
                <w:spacing w:val="-1"/>
                <w:kern w:val="0"/>
                <w:sz w:val="28"/>
                <w:szCs w:val="28"/>
              </w:rPr>
            </w:pPr>
          </w:p>
        </w:tc>
        <w:tc>
          <w:tcPr>
            <w:tcW w:w="2477" w:type="dxa"/>
            <w:noWrap w:val="0"/>
            <w:vAlign w:val="center"/>
          </w:tcPr>
          <w:p w14:paraId="11EC2C1A">
            <w:pPr>
              <w:rPr>
                <w:rFonts w:hint="eastAsia" w:ascii="仿宋" w:hAnsi="仿宋" w:eastAsia="仿宋" w:cs="仿宋"/>
                <w:color w:val="auto"/>
                <w:spacing w:val="-1"/>
                <w:kern w:val="0"/>
                <w:sz w:val="28"/>
                <w:szCs w:val="28"/>
              </w:rPr>
            </w:pPr>
          </w:p>
        </w:tc>
        <w:tc>
          <w:tcPr>
            <w:tcW w:w="2454" w:type="dxa"/>
            <w:noWrap w:val="0"/>
            <w:vAlign w:val="center"/>
          </w:tcPr>
          <w:p w14:paraId="2CA9DA3D">
            <w:pPr>
              <w:rPr>
                <w:rFonts w:hint="eastAsia" w:ascii="仿宋" w:hAnsi="仿宋" w:eastAsia="仿宋" w:cs="仿宋"/>
                <w:color w:val="auto"/>
                <w:spacing w:val="-1"/>
                <w:kern w:val="0"/>
                <w:sz w:val="28"/>
                <w:szCs w:val="28"/>
              </w:rPr>
            </w:pPr>
          </w:p>
        </w:tc>
        <w:tc>
          <w:tcPr>
            <w:tcW w:w="1130" w:type="dxa"/>
            <w:noWrap w:val="0"/>
            <w:vAlign w:val="center"/>
          </w:tcPr>
          <w:p w14:paraId="1A1087A6">
            <w:pPr>
              <w:rPr>
                <w:rFonts w:hint="eastAsia" w:ascii="仿宋" w:hAnsi="仿宋" w:eastAsia="仿宋" w:cs="仿宋"/>
                <w:color w:val="auto"/>
                <w:spacing w:val="-1"/>
                <w:kern w:val="0"/>
                <w:sz w:val="28"/>
                <w:szCs w:val="28"/>
              </w:rPr>
            </w:pPr>
          </w:p>
        </w:tc>
      </w:tr>
      <w:tr w14:paraId="6916C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586D0AED">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4</w:t>
            </w:r>
          </w:p>
        </w:tc>
        <w:tc>
          <w:tcPr>
            <w:tcW w:w="2154" w:type="dxa"/>
            <w:noWrap w:val="0"/>
            <w:vAlign w:val="center"/>
          </w:tcPr>
          <w:p w14:paraId="220ACF7D">
            <w:pPr>
              <w:rPr>
                <w:rFonts w:hint="eastAsia" w:ascii="仿宋" w:hAnsi="仿宋" w:eastAsia="仿宋" w:cs="仿宋"/>
                <w:color w:val="auto"/>
                <w:spacing w:val="-1"/>
                <w:kern w:val="0"/>
                <w:sz w:val="28"/>
                <w:szCs w:val="28"/>
              </w:rPr>
            </w:pPr>
          </w:p>
        </w:tc>
        <w:tc>
          <w:tcPr>
            <w:tcW w:w="2477" w:type="dxa"/>
            <w:noWrap w:val="0"/>
            <w:vAlign w:val="center"/>
          </w:tcPr>
          <w:p w14:paraId="1B2F9C9B">
            <w:pPr>
              <w:rPr>
                <w:rFonts w:hint="eastAsia" w:ascii="仿宋" w:hAnsi="仿宋" w:eastAsia="仿宋" w:cs="仿宋"/>
                <w:color w:val="auto"/>
                <w:spacing w:val="-1"/>
                <w:kern w:val="0"/>
                <w:sz w:val="28"/>
                <w:szCs w:val="28"/>
              </w:rPr>
            </w:pPr>
          </w:p>
        </w:tc>
        <w:tc>
          <w:tcPr>
            <w:tcW w:w="2454" w:type="dxa"/>
            <w:noWrap w:val="0"/>
            <w:vAlign w:val="center"/>
          </w:tcPr>
          <w:p w14:paraId="18B86EFD">
            <w:pPr>
              <w:rPr>
                <w:rFonts w:hint="eastAsia" w:ascii="仿宋" w:hAnsi="仿宋" w:eastAsia="仿宋" w:cs="仿宋"/>
                <w:color w:val="auto"/>
                <w:spacing w:val="-1"/>
                <w:kern w:val="0"/>
                <w:sz w:val="28"/>
                <w:szCs w:val="28"/>
              </w:rPr>
            </w:pPr>
          </w:p>
        </w:tc>
        <w:tc>
          <w:tcPr>
            <w:tcW w:w="1130" w:type="dxa"/>
            <w:noWrap w:val="0"/>
            <w:vAlign w:val="center"/>
          </w:tcPr>
          <w:p w14:paraId="78FCBC6B">
            <w:pPr>
              <w:rPr>
                <w:rFonts w:hint="eastAsia" w:ascii="仿宋" w:hAnsi="仿宋" w:eastAsia="仿宋" w:cs="仿宋"/>
                <w:color w:val="auto"/>
                <w:spacing w:val="-1"/>
                <w:kern w:val="0"/>
                <w:sz w:val="28"/>
                <w:szCs w:val="28"/>
              </w:rPr>
            </w:pPr>
          </w:p>
        </w:tc>
      </w:tr>
      <w:tr w14:paraId="01E72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5E375A46">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5</w:t>
            </w:r>
          </w:p>
        </w:tc>
        <w:tc>
          <w:tcPr>
            <w:tcW w:w="2154" w:type="dxa"/>
            <w:noWrap w:val="0"/>
            <w:vAlign w:val="center"/>
          </w:tcPr>
          <w:p w14:paraId="7E49FB3A">
            <w:pPr>
              <w:rPr>
                <w:rFonts w:hint="eastAsia" w:ascii="仿宋" w:hAnsi="仿宋" w:eastAsia="仿宋" w:cs="仿宋"/>
                <w:color w:val="auto"/>
                <w:spacing w:val="-1"/>
                <w:kern w:val="0"/>
                <w:sz w:val="28"/>
                <w:szCs w:val="28"/>
              </w:rPr>
            </w:pPr>
          </w:p>
        </w:tc>
        <w:tc>
          <w:tcPr>
            <w:tcW w:w="2477" w:type="dxa"/>
            <w:noWrap w:val="0"/>
            <w:vAlign w:val="center"/>
          </w:tcPr>
          <w:p w14:paraId="711DB286">
            <w:pPr>
              <w:rPr>
                <w:rFonts w:hint="eastAsia" w:ascii="仿宋" w:hAnsi="仿宋" w:eastAsia="仿宋" w:cs="仿宋"/>
                <w:color w:val="auto"/>
                <w:spacing w:val="-1"/>
                <w:kern w:val="0"/>
                <w:sz w:val="28"/>
                <w:szCs w:val="28"/>
              </w:rPr>
            </w:pPr>
          </w:p>
        </w:tc>
        <w:tc>
          <w:tcPr>
            <w:tcW w:w="2454" w:type="dxa"/>
            <w:noWrap w:val="0"/>
            <w:vAlign w:val="center"/>
          </w:tcPr>
          <w:p w14:paraId="37218861">
            <w:pPr>
              <w:rPr>
                <w:rFonts w:hint="eastAsia" w:ascii="仿宋" w:hAnsi="仿宋" w:eastAsia="仿宋" w:cs="仿宋"/>
                <w:color w:val="auto"/>
                <w:spacing w:val="-1"/>
                <w:kern w:val="0"/>
                <w:sz w:val="28"/>
                <w:szCs w:val="28"/>
              </w:rPr>
            </w:pPr>
          </w:p>
        </w:tc>
        <w:tc>
          <w:tcPr>
            <w:tcW w:w="1130" w:type="dxa"/>
            <w:noWrap w:val="0"/>
            <w:vAlign w:val="center"/>
          </w:tcPr>
          <w:p w14:paraId="2E7B367C">
            <w:pPr>
              <w:rPr>
                <w:rFonts w:hint="eastAsia" w:ascii="仿宋" w:hAnsi="仿宋" w:eastAsia="仿宋" w:cs="仿宋"/>
                <w:color w:val="auto"/>
                <w:spacing w:val="-1"/>
                <w:kern w:val="0"/>
                <w:sz w:val="28"/>
                <w:szCs w:val="28"/>
              </w:rPr>
            </w:pPr>
          </w:p>
        </w:tc>
      </w:tr>
      <w:tr w14:paraId="71289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1D50488F">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6</w:t>
            </w:r>
          </w:p>
        </w:tc>
        <w:tc>
          <w:tcPr>
            <w:tcW w:w="2154" w:type="dxa"/>
            <w:noWrap w:val="0"/>
            <w:vAlign w:val="center"/>
          </w:tcPr>
          <w:p w14:paraId="3D390E43">
            <w:pPr>
              <w:rPr>
                <w:rFonts w:hint="eastAsia" w:ascii="仿宋" w:hAnsi="仿宋" w:eastAsia="仿宋" w:cs="仿宋"/>
                <w:color w:val="auto"/>
                <w:spacing w:val="-1"/>
                <w:kern w:val="0"/>
                <w:sz w:val="28"/>
                <w:szCs w:val="28"/>
              </w:rPr>
            </w:pPr>
          </w:p>
        </w:tc>
        <w:tc>
          <w:tcPr>
            <w:tcW w:w="2477" w:type="dxa"/>
            <w:noWrap w:val="0"/>
            <w:vAlign w:val="center"/>
          </w:tcPr>
          <w:p w14:paraId="1277B9BA">
            <w:pPr>
              <w:rPr>
                <w:rFonts w:hint="eastAsia" w:ascii="仿宋" w:hAnsi="仿宋" w:eastAsia="仿宋" w:cs="仿宋"/>
                <w:color w:val="auto"/>
                <w:spacing w:val="-1"/>
                <w:kern w:val="0"/>
                <w:sz w:val="28"/>
                <w:szCs w:val="28"/>
              </w:rPr>
            </w:pPr>
          </w:p>
        </w:tc>
        <w:tc>
          <w:tcPr>
            <w:tcW w:w="2454" w:type="dxa"/>
            <w:noWrap w:val="0"/>
            <w:vAlign w:val="center"/>
          </w:tcPr>
          <w:p w14:paraId="4FD0836E">
            <w:pPr>
              <w:rPr>
                <w:rFonts w:hint="eastAsia" w:ascii="仿宋" w:hAnsi="仿宋" w:eastAsia="仿宋" w:cs="仿宋"/>
                <w:color w:val="auto"/>
                <w:spacing w:val="-1"/>
                <w:kern w:val="0"/>
                <w:sz w:val="28"/>
                <w:szCs w:val="28"/>
              </w:rPr>
            </w:pPr>
          </w:p>
        </w:tc>
        <w:tc>
          <w:tcPr>
            <w:tcW w:w="1130" w:type="dxa"/>
            <w:noWrap w:val="0"/>
            <w:vAlign w:val="center"/>
          </w:tcPr>
          <w:p w14:paraId="6319DC34">
            <w:pPr>
              <w:rPr>
                <w:rFonts w:hint="eastAsia" w:ascii="仿宋" w:hAnsi="仿宋" w:eastAsia="仿宋" w:cs="仿宋"/>
                <w:color w:val="auto"/>
                <w:spacing w:val="-1"/>
                <w:kern w:val="0"/>
                <w:sz w:val="28"/>
                <w:szCs w:val="28"/>
              </w:rPr>
            </w:pPr>
          </w:p>
        </w:tc>
      </w:tr>
      <w:tr w14:paraId="664EE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48893209">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7</w:t>
            </w:r>
          </w:p>
        </w:tc>
        <w:tc>
          <w:tcPr>
            <w:tcW w:w="2154" w:type="dxa"/>
            <w:noWrap w:val="0"/>
            <w:vAlign w:val="center"/>
          </w:tcPr>
          <w:p w14:paraId="1C573526">
            <w:pPr>
              <w:rPr>
                <w:rFonts w:hint="eastAsia" w:ascii="仿宋" w:hAnsi="仿宋" w:eastAsia="仿宋" w:cs="仿宋"/>
                <w:color w:val="auto"/>
                <w:spacing w:val="-1"/>
                <w:kern w:val="0"/>
                <w:sz w:val="28"/>
                <w:szCs w:val="28"/>
              </w:rPr>
            </w:pPr>
          </w:p>
        </w:tc>
        <w:tc>
          <w:tcPr>
            <w:tcW w:w="2477" w:type="dxa"/>
            <w:noWrap w:val="0"/>
            <w:vAlign w:val="center"/>
          </w:tcPr>
          <w:p w14:paraId="561C980A">
            <w:pPr>
              <w:rPr>
                <w:rFonts w:hint="eastAsia" w:ascii="仿宋" w:hAnsi="仿宋" w:eastAsia="仿宋" w:cs="仿宋"/>
                <w:color w:val="auto"/>
                <w:spacing w:val="-1"/>
                <w:kern w:val="0"/>
                <w:sz w:val="28"/>
                <w:szCs w:val="28"/>
              </w:rPr>
            </w:pPr>
          </w:p>
        </w:tc>
        <w:tc>
          <w:tcPr>
            <w:tcW w:w="2454" w:type="dxa"/>
            <w:noWrap w:val="0"/>
            <w:vAlign w:val="center"/>
          </w:tcPr>
          <w:p w14:paraId="1F4249CF">
            <w:pPr>
              <w:rPr>
                <w:rFonts w:hint="eastAsia" w:ascii="仿宋" w:hAnsi="仿宋" w:eastAsia="仿宋" w:cs="仿宋"/>
                <w:color w:val="auto"/>
                <w:spacing w:val="-1"/>
                <w:kern w:val="0"/>
                <w:sz w:val="28"/>
                <w:szCs w:val="28"/>
              </w:rPr>
            </w:pPr>
          </w:p>
        </w:tc>
        <w:tc>
          <w:tcPr>
            <w:tcW w:w="1130" w:type="dxa"/>
            <w:noWrap w:val="0"/>
            <w:vAlign w:val="center"/>
          </w:tcPr>
          <w:p w14:paraId="5803A375">
            <w:pPr>
              <w:rPr>
                <w:rFonts w:hint="eastAsia" w:ascii="仿宋" w:hAnsi="仿宋" w:eastAsia="仿宋" w:cs="仿宋"/>
                <w:color w:val="auto"/>
                <w:spacing w:val="-1"/>
                <w:kern w:val="0"/>
                <w:sz w:val="28"/>
                <w:szCs w:val="28"/>
              </w:rPr>
            </w:pPr>
          </w:p>
        </w:tc>
      </w:tr>
      <w:tr w14:paraId="57FEF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00DB84EF">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8</w:t>
            </w:r>
          </w:p>
        </w:tc>
        <w:tc>
          <w:tcPr>
            <w:tcW w:w="2154" w:type="dxa"/>
            <w:noWrap w:val="0"/>
            <w:vAlign w:val="center"/>
          </w:tcPr>
          <w:p w14:paraId="3407075D">
            <w:pPr>
              <w:rPr>
                <w:rFonts w:hint="eastAsia" w:ascii="仿宋" w:hAnsi="仿宋" w:eastAsia="仿宋" w:cs="仿宋"/>
                <w:color w:val="auto"/>
                <w:spacing w:val="-1"/>
                <w:kern w:val="0"/>
                <w:sz w:val="28"/>
                <w:szCs w:val="28"/>
              </w:rPr>
            </w:pPr>
          </w:p>
        </w:tc>
        <w:tc>
          <w:tcPr>
            <w:tcW w:w="2477" w:type="dxa"/>
            <w:noWrap w:val="0"/>
            <w:vAlign w:val="center"/>
          </w:tcPr>
          <w:p w14:paraId="045FE0C0">
            <w:pPr>
              <w:rPr>
                <w:rFonts w:hint="eastAsia" w:ascii="仿宋" w:hAnsi="仿宋" w:eastAsia="仿宋" w:cs="仿宋"/>
                <w:color w:val="auto"/>
                <w:spacing w:val="-1"/>
                <w:kern w:val="0"/>
                <w:sz w:val="28"/>
                <w:szCs w:val="28"/>
              </w:rPr>
            </w:pPr>
          </w:p>
        </w:tc>
        <w:tc>
          <w:tcPr>
            <w:tcW w:w="2454" w:type="dxa"/>
            <w:noWrap w:val="0"/>
            <w:vAlign w:val="center"/>
          </w:tcPr>
          <w:p w14:paraId="14B5B5BA">
            <w:pPr>
              <w:rPr>
                <w:rFonts w:hint="eastAsia" w:ascii="仿宋" w:hAnsi="仿宋" w:eastAsia="仿宋" w:cs="仿宋"/>
                <w:color w:val="auto"/>
                <w:spacing w:val="-1"/>
                <w:kern w:val="0"/>
                <w:sz w:val="28"/>
                <w:szCs w:val="28"/>
              </w:rPr>
            </w:pPr>
          </w:p>
        </w:tc>
        <w:tc>
          <w:tcPr>
            <w:tcW w:w="1130" w:type="dxa"/>
            <w:noWrap w:val="0"/>
            <w:vAlign w:val="center"/>
          </w:tcPr>
          <w:p w14:paraId="38F0A648">
            <w:pPr>
              <w:rPr>
                <w:rFonts w:hint="eastAsia" w:ascii="仿宋" w:hAnsi="仿宋" w:eastAsia="仿宋" w:cs="仿宋"/>
                <w:color w:val="auto"/>
                <w:spacing w:val="-1"/>
                <w:kern w:val="0"/>
                <w:sz w:val="28"/>
                <w:szCs w:val="28"/>
              </w:rPr>
            </w:pPr>
          </w:p>
        </w:tc>
      </w:tr>
      <w:tr w14:paraId="1AC6C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7E6566DC">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9</w:t>
            </w:r>
          </w:p>
        </w:tc>
        <w:tc>
          <w:tcPr>
            <w:tcW w:w="2154" w:type="dxa"/>
            <w:noWrap w:val="0"/>
            <w:vAlign w:val="center"/>
          </w:tcPr>
          <w:p w14:paraId="0B843B12">
            <w:pPr>
              <w:rPr>
                <w:rFonts w:hint="eastAsia" w:ascii="仿宋" w:hAnsi="仿宋" w:eastAsia="仿宋" w:cs="仿宋"/>
                <w:color w:val="auto"/>
                <w:spacing w:val="-1"/>
                <w:kern w:val="0"/>
                <w:sz w:val="28"/>
                <w:szCs w:val="28"/>
              </w:rPr>
            </w:pPr>
          </w:p>
        </w:tc>
        <w:tc>
          <w:tcPr>
            <w:tcW w:w="2477" w:type="dxa"/>
            <w:noWrap w:val="0"/>
            <w:vAlign w:val="center"/>
          </w:tcPr>
          <w:p w14:paraId="0C394EE0">
            <w:pPr>
              <w:rPr>
                <w:rFonts w:hint="eastAsia" w:ascii="仿宋" w:hAnsi="仿宋" w:eastAsia="仿宋" w:cs="仿宋"/>
                <w:color w:val="auto"/>
                <w:spacing w:val="-1"/>
                <w:kern w:val="0"/>
                <w:sz w:val="28"/>
                <w:szCs w:val="28"/>
              </w:rPr>
            </w:pPr>
          </w:p>
        </w:tc>
        <w:tc>
          <w:tcPr>
            <w:tcW w:w="2454" w:type="dxa"/>
            <w:noWrap w:val="0"/>
            <w:vAlign w:val="center"/>
          </w:tcPr>
          <w:p w14:paraId="7E917F2B">
            <w:pPr>
              <w:rPr>
                <w:rFonts w:hint="eastAsia" w:ascii="仿宋" w:hAnsi="仿宋" w:eastAsia="仿宋" w:cs="仿宋"/>
                <w:color w:val="auto"/>
                <w:spacing w:val="-1"/>
                <w:kern w:val="0"/>
                <w:sz w:val="28"/>
                <w:szCs w:val="28"/>
              </w:rPr>
            </w:pPr>
          </w:p>
        </w:tc>
        <w:tc>
          <w:tcPr>
            <w:tcW w:w="1130" w:type="dxa"/>
            <w:noWrap w:val="0"/>
            <w:vAlign w:val="center"/>
          </w:tcPr>
          <w:p w14:paraId="5567EF02">
            <w:pPr>
              <w:rPr>
                <w:rFonts w:hint="eastAsia" w:ascii="仿宋" w:hAnsi="仿宋" w:eastAsia="仿宋" w:cs="仿宋"/>
                <w:color w:val="auto"/>
                <w:spacing w:val="-1"/>
                <w:kern w:val="0"/>
                <w:sz w:val="28"/>
                <w:szCs w:val="28"/>
              </w:rPr>
            </w:pPr>
          </w:p>
        </w:tc>
      </w:tr>
      <w:tr w14:paraId="53303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3469DBA2">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10</w:t>
            </w:r>
          </w:p>
        </w:tc>
        <w:tc>
          <w:tcPr>
            <w:tcW w:w="2154" w:type="dxa"/>
            <w:noWrap w:val="0"/>
            <w:vAlign w:val="center"/>
          </w:tcPr>
          <w:p w14:paraId="78E64B32">
            <w:pPr>
              <w:rPr>
                <w:rFonts w:hint="eastAsia" w:ascii="仿宋" w:hAnsi="仿宋" w:eastAsia="仿宋" w:cs="仿宋"/>
                <w:color w:val="auto"/>
                <w:spacing w:val="-1"/>
                <w:kern w:val="0"/>
                <w:sz w:val="28"/>
                <w:szCs w:val="28"/>
              </w:rPr>
            </w:pPr>
          </w:p>
        </w:tc>
        <w:tc>
          <w:tcPr>
            <w:tcW w:w="2477" w:type="dxa"/>
            <w:noWrap w:val="0"/>
            <w:vAlign w:val="center"/>
          </w:tcPr>
          <w:p w14:paraId="58BA2829">
            <w:pPr>
              <w:rPr>
                <w:rFonts w:hint="eastAsia" w:ascii="仿宋" w:hAnsi="仿宋" w:eastAsia="仿宋" w:cs="仿宋"/>
                <w:color w:val="auto"/>
                <w:spacing w:val="-1"/>
                <w:kern w:val="0"/>
                <w:sz w:val="28"/>
                <w:szCs w:val="28"/>
              </w:rPr>
            </w:pPr>
          </w:p>
        </w:tc>
        <w:tc>
          <w:tcPr>
            <w:tcW w:w="2454" w:type="dxa"/>
            <w:noWrap w:val="0"/>
            <w:vAlign w:val="center"/>
          </w:tcPr>
          <w:p w14:paraId="021508C2">
            <w:pPr>
              <w:rPr>
                <w:rFonts w:hint="eastAsia" w:ascii="仿宋" w:hAnsi="仿宋" w:eastAsia="仿宋" w:cs="仿宋"/>
                <w:color w:val="auto"/>
                <w:spacing w:val="-1"/>
                <w:kern w:val="0"/>
                <w:sz w:val="28"/>
                <w:szCs w:val="28"/>
              </w:rPr>
            </w:pPr>
          </w:p>
        </w:tc>
        <w:tc>
          <w:tcPr>
            <w:tcW w:w="1130" w:type="dxa"/>
            <w:noWrap w:val="0"/>
            <w:vAlign w:val="center"/>
          </w:tcPr>
          <w:p w14:paraId="756B3951">
            <w:pPr>
              <w:rPr>
                <w:rFonts w:hint="eastAsia" w:ascii="仿宋" w:hAnsi="仿宋" w:eastAsia="仿宋" w:cs="仿宋"/>
                <w:color w:val="auto"/>
                <w:spacing w:val="-1"/>
                <w:kern w:val="0"/>
                <w:sz w:val="28"/>
                <w:szCs w:val="28"/>
              </w:rPr>
            </w:pPr>
          </w:p>
        </w:tc>
      </w:tr>
    </w:tbl>
    <w:p w14:paraId="6DC26826">
      <w:pPr>
        <w:rPr>
          <w:rFonts w:hint="eastAsia" w:ascii="仿宋" w:hAnsi="仿宋" w:eastAsia="仿宋" w:cs="仿宋"/>
          <w:color w:val="auto"/>
          <w:spacing w:val="-1"/>
          <w:kern w:val="0"/>
          <w:sz w:val="28"/>
          <w:szCs w:val="28"/>
        </w:rPr>
      </w:pPr>
    </w:p>
    <w:p w14:paraId="01445381">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注：请在“偏离说明”栏内扼要说明偏离情况，如无偏离则不需列明。</w:t>
      </w:r>
    </w:p>
    <w:p w14:paraId="1B0A1D24">
      <w:pPr>
        <w:pStyle w:val="7"/>
        <w:numPr>
          <w:ilvl w:val="0"/>
          <w:numId w:val="0"/>
        </w:numPr>
        <w:tabs>
          <w:tab w:val="left" w:pos="8227"/>
          <w:tab w:val="clear" w:pos="780"/>
        </w:tabs>
        <w:kinsoku w:val="0"/>
        <w:overflowPunct w:val="0"/>
        <w:spacing w:line="381" w:lineRule="auto"/>
        <w:ind w:right="118" w:rightChars="0"/>
        <w:rPr>
          <w:rFonts w:hint="eastAsia" w:ascii="仿宋" w:hAnsi="仿宋" w:eastAsia="仿宋" w:cs="仿宋"/>
          <w:color w:val="auto"/>
          <w:sz w:val="28"/>
          <w:szCs w:val="28"/>
        </w:rPr>
      </w:pPr>
    </w:p>
    <w:p w14:paraId="78209B93">
      <w:pPr>
        <w:pStyle w:val="7"/>
        <w:numPr>
          <w:ilvl w:val="0"/>
          <w:numId w:val="0"/>
        </w:numPr>
        <w:tabs>
          <w:tab w:val="left" w:pos="8227"/>
          <w:tab w:val="clear" w:pos="780"/>
        </w:tabs>
        <w:kinsoku w:val="0"/>
        <w:overflowPunct w:val="0"/>
        <w:spacing w:line="381" w:lineRule="auto"/>
        <w:ind w:left="1680" w:leftChars="0" w:right="118" w:rightChars="0"/>
        <w:rPr>
          <w:rFonts w:hint="eastAsia" w:ascii="仿宋" w:hAnsi="仿宋" w:eastAsia="仿宋" w:cs="仿宋"/>
          <w:color w:val="auto"/>
          <w:sz w:val="28"/>
          <w:szCs w:val="28"/>
        </w:rPr>
      </w:pPr>
    </w:p>
    <w:p w14:paraId="30E75170">
      <w:pPr>
        <w:pStyle w:val="7"/>
        <w:numPr>
          <w:ilvl w:val="0"/>
          <w:numId w:val="0"/>
        </w:numPr>
        <w:tabs>
          <w:tab w:val="left" w:pos="8227"/>
          <w:tab w:val="clear" w:pos="780"/>
        </w:tabs>
        <w:kinsoku w:val="0"/>
        <w:overflowPunct w:val="0"/>
        <w:spacing w:line="381" w:lineRule="auto"/>
        <w:ind w:right="118" w:rightChars="0"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投标人：</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w w:val="95"/>
          <w:sz w:val="28"/>
          <w:szCs w:val="28"/>
        </w:rPr>
        <w:t>（盖章）</w:t>
      </w:r>
      <w:r>
        <w:rPr>
          <w:rFonts w:hint="eastAsia" w:ascii="仿宋" w:hAnsi="仿宋" w:eastAsia="仿宋" w:cs="仿宋"/>
          <w:color w:val="auto"/>
          <w:sz w:val="28"/>
          <w:szCs w:val="28"/>
        </w:rPr>
        <w:t xml:space="preserve"> </w:t>
      </w:r>
    </w:p>
    <w:p w14:paraId="1B149A8C">
      <w:pPr>
        <w:pStyle w:val="7"/>
        <w:numPr>
          <w:ilvl w:val="0"/>
          <w:numId w:val="0"/>
        </w:numPr>
        <w:tabs>
          <w:tab w:val="left" w:pos="8227"/>
          <w:tab w:val="clear" w:pos="780"/>
        </w:tabs>
        <w:kinsoku w:val="0"/>
        <w:overflowPunct w:val="0"/>
        <w:spacing w:line="381" w:lineRule="auto"/>
        <w:ind w:right="118" w:rightChars="0" w:firstLine="840" w:firstLineChars="300"/>
        <w:rPr>
          <w:rFonts w:hint="default" w:ascii="仿宋" w:hAnsi="仿宋" w:eastAsia="仿宋" w:cs="仿宋"/>
          <w:color w:val="auto"/>
          <w:w w:val="95"/>
          <w:sz w:val="28"/>
          <w:szCs w:val="28"/>
          <w:lang w:val="en-US"/>
        </w:rPr>
      </w:pPr>
      <w:r>
        <w:rPr>
          <w:rFonts w:hint="eastAsia" w:ascii="仿宋" w:hAnsi="仿宋" w:eastAsia="仿宋" w:cs="仿宋"/>
          <w:color w:val="auto"/>
          <w:sz w:val="28"/>
          <w:szCs w:val="28"/>
        </w:rPr>
        <w:t>法定代表人或被授权人</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w w:val="95"/>
          <w:sz w:val="28"/>
          <w:szCs w:val="28"/>
        </w:rPr>
        <w:t>（</w:t>
      </w:r>
      <w:r>
        <w:rPr>
          <w:rFonts w:hint="eastAsia" w:ascii="仿宋" w:hAnsi="仿宋" w:eastAsia="仿宋" w:cs="仿宋"/>
          <w:color w:val="auto"/>
          <w:w w:val="95"/>
          <w:sz w:val="28"/>
          <w:szCs w:val="28"/>
          <w:lang w:eastAsia="zh-CN"/>
        </w:rPr>
        <w:t>签字或盖章）</w:t>
      </w:r>
    </w:p>
    <w:p w14:paraId="6603F746">
      <w:pPr>
        <w:pStyle w:val="27"/>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color w:val="auto"/>
          <w:sz w:val="28"/>
          <w:szCs w:val="28"/>
        </w:rPr>
      </w:pPr>
    </w:p>
    <w:p w14:paraId="068F18FC">
      <w:pPr>
        <w:pStyle w:val="27"/>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color w:val="auto"/>
          <w:spacing w:val="0"/>
          <w:w w:val="100"/>
          <w:position w:val="0"/>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日</w:t>
      </w:r>
    </w:p>
    <w:p w14:paraId="2F176A0D">
      <w:pPr>
        <w:pStyle w:val="27"/>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color w:val="auto"/>
          <w:spacing w:val="0"/>
          <w:w w:val="100"/>
          <w:position w:val="0"/>
          <w:sz w:val="28"/>
          <w:szCs w:val="28"/>
        </w:rPr>
      </w:pPr>
    </w:p>
    <w:p w14:paraId="69695592">
      <w:pPr>
        <w:pStyle w:val="27"/>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b/>
          <w:bCs/>
          <w:color w:val="auto"/>
          <w:spacing w:val="0"/>
          <w:w w:val="100"/>
          <w:position w:val="0"/>
          <w:sz w:val="28"/>
          <w:szCs w:val="28"/>
          <w:lang w:val="en-US" w:eastAsia="zh-CN"/>
        </w:rPr>
      </w:pPr>
      <w:r>
        <w:rPr>
          <w:rFonts w:hint="eastAsia" w:ascii="仿宋" w:hAnsi="仿宋" w:eastAsia="仿宋" w:cs="仿宋"/>
          <w:b/>
          <w:bCs/>
          <w:color w:val="auto"/>
          <w:spacing w:val="0"/>
          <w:w w:val="100"/>
          <w:position w:val="0"/>
          <w:sz w:val="28"/>
          <w:szCs w:val="28"/>
          <w:lang w:val="en-US" w:eastAsia="zh-CN"/>
        </w:rPr>
        <w:t>7、投标人基本情况表</w:t>
      </w:r>
    </w:p>
    <w:p w14:paraId="38B0BD6C">
      <w:pPr>
        <w:pStyle w:val="7"/>
        <w:numPr>
          <w:ilvl w:val="0"/>
          <w:numId w:val="0"/>
        </w:numPr>
        <w:kinsoku w:val="0"/>
        <w:overflowPunct w:val="0"/>
        <w:spacing w:before="5"/>
        <w:ind w:leftChars="0" w:right="0" w:rightChars="0"/>
        <w:rPr>
          <w:rFonts w:hint="eastAsia" w:ascii="仿宋" w:hAnsi="仿宋" w:eastAsia="仿宋" w:cs="仿宋"/>
          <w:b/>
          <w:bCs/>
          <w:color w:val="auto"/>
          <w:sz w:val="28"/>
          <w:szCs w:val="28"/>
        </w:rPr>
      </w:pPr>
    </w:p>
    <w:tbl>
      <w:tblPr>
        <w:tblStyle w:val="17"/>
        <w:tblW w:w="8714" w:type="dxa"/>
        <w:jc w:val="center"/>
        <w:tblLayout w:type="fixed"/>
        <w:tblCellMar>
          <w:top w:w="0" w:type="dxa"/>
          <w:left w:w="0" w:type="dxa"/>
          <w:bottom w:w="0" w:type="dxa"/>
          <w:right w:w="0" w:type="dxa"/>
        </w:tblCellMar>
      </w:tblPr>
      <w:tblGrid>
        <w:gridCol w:w="1549"/>
        <w:gridCol w:w="1450"/>
        <w:gridCol w:w="537"/>
        <w:gridCol w:w="493"/>
        <w:gridCol w:w="655"/>
        <w:gridCol w:w="688"/>
        <w:gridCol w:w="458"/>
        <w:gridCol w:w="367"/>
        <w:gridCol w:w="552"/>
        <w:gridCol w:w="1965"/>
      </w:tblGrid>
      <w:tr w14:paraId="56E9906D">
        <w:tblPrEx>
          <w:tblCellMar>
            <w:top w:w="0" w:type="dxa"/>
            <w:left w:w="0" w:type="dxa"/>
            <w:bottom w:w="0" w:type="dxa"/>
            <w:right w:w="0" w:type="dxa"/>
          </w:tblCellMar>
        </w:tblPrEx>
        <w:trPr>
          <w:trHeight w:val="691"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2678AA34">
            <w:pPr>
              <w:pStyle w:val="31"/>
              <w:kinsoku w:val="0"/>
              <w:overflowPunct w:val="0"/>
              <w:spacing w:before="145"/>
              <w:ind w:left="137"/>
              <w:rPr>
                <w:rFonts w:hint="eastAsia" w:ascii="仿宋" w:hAnsi="仿宋" w:eastAsia="仿宋" w:cs="仿宋"/>
                <w:color w:val="auto"/>
                <w:sz w:val="28"/>
                <w:szCs w:val="28"/>
              </w:rPr>
            </w:pPr>
            <w:r>
              <w:rPr>
                <w:rFonts w:hint="eastAsia" w:ascii="仿宋" w:hAnsi="仿宋" w:eastAsia="仿宋" w:cs="仿宋"/>
                <w:color w:val="auto"/>
                <w:sz w:val="28"/>
                <w:szCs w:val="28"/>
              </w:rPr>
              <w:t>单位名称</w:t>
            </w: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332F757A">
            <w:pPr>
              <w:rPr>
                <w:rFonts w:hint="eastAsia" w:ascii="仿宋" w:hAnsi="仿宋" w:eastAsia="仿宋" w:cs="仿宋"/>
                <w:color w:val="auto"/>
                <w:sz w:val="28"/>
                <w:szCs w:val="28"/>
              </w:rPr>
            </w:pPr>
          </w:p>
        </w:tc>
      </w:tr>
      <w:tr w14:paraId="53C4116C">
        <w:tblPrEx>
          <w:tblCellMar>
            <w:top w:w="0" w:type="dxa"/>
            <w:left w:w="0" w:type="dxa"/>
            <w:bottom w:w="0" w:type="dxa"/>
            <w:right w:w="0" w:type="dxa"/>
          </w:tblCellMar>
        </w:tblPrEx>
        <w:trPr>
          <w:trHeight w:val="691"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76D8FA11">
            <w:pPr>
              <w:pStyle w:val="31"/>
              <w:kinsoku w:val="0"/>
              <w:overflowPunct w:val="0"/>
              <w:spacing w:before="145"/>
              <w:ind w:left="137"/>
              <w:rPr>
                <w:rFonts w:hint="eastAsia" w:ascii="仿宋" w:hAnsi="仿宋" w:eastAsia="仿宋" w:cs="仿宋"/>
                <w:color w:val="auto"/>
                <w:sz w:val="28"/>
                <w:szCs w:val="28"/>
              </w:rPr>
            </w:pPr>
            <w:r>
              <w:rPr>
                <w:rFonts w:hint="eastAsia" w:ascii="仿宋" w:hAnsi="仿宋" w:eastAsia="仿宋" w:cs="仿宋"/>
                <w:color w:val="auto"/>
                <w:sz w:val="28"/>
                <w:szCs w:val="28"/>
              </w:rPr>
              <w:t>单位地址</w:t>
            </w: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01203CDE">
            <w:pPr>
              <w:rPr>
                <w:rFonts w:hint="eastAsia" w:ascii="仿宋" w:hAnsi="仿宋" w:eastAsia="仿宋" w:cs="仿宋"/>
                <w:color w:val="auto"/>
                <w:sz w:val="28"/>
                <w:szCs w:val="28"/>
              </w:rPr>
            </w:pPr>
          </w:p>
        </w:tc>
      </w:tr>
      <w:tr w14:paraId="3B7F031E">
        <w:tblPrEx>
          <w:tblCellMar>
            <w:top w:w="0" w:type="dxa"/>
            <w:left w:w="0" w:type="dxa"/>
            <w:bottom w:w="0" w:type="dxa"/>
            <w:right w:w="0" w:type="dxa"/>
          </w:tblCellMar>
        </w:tblPrEx>
        <w:trPr>
          <w:trHeight w:val="691"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5D4CF9B1">
            <w:pPr>
              <w:pStyle w:val="31"/>
              <w:kinsoku w:val="0"/>
              <w:overflowPunct w:val="0"/>
              <w:spacing w:before="145"/>
              <w:ind w:left="137"/>
              <w:rPr>
                <w:rFonts w:hint="eastAsia" w:ascii="仿宋" w:hAnsi="仿宋" w:eastAsia="仿宋" w:cs="仿宋"/>
                <w:color w:val="auto"/>
                <w:sz w:val="28"/>
                <w:szCs w:val="28"/>
              </w:rPr>
            </w:pPr>
            <w:r>
              <w:rPr>
                <w:rFonts w:hint="eastAsia" w:ascii="仿宋" w:hAnsi="仿宋" w:eastAsia="仿宋" w:cs="仿宋"/>
                <w:color w:val="auto"/>
                <w:sz w:val="28"/>
                <w:szCs w:val="28"/>
              </w:rPr>
              <w:t>主管部门</w:t>
            </w: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73BDBE8B">
            <w:pPr>
              <w:rPr>
                <w:rFonts w:hint="eastAsia" w:ascii="仿宋" w:hAnsi="仿宋" w:eastAsia="仿宋" w:cs="仿宋"/>
                <w:color w:val="auto"/>
                <w:sz w:val="28"/>
                <w:szCs w:val="28"/>
              </w:rPr>
            </w:pPr>
          </w:p>
        </w:tc>
      </w:tr>
      <w:tr w14:paraId="7D4C25BD">
        <w:tblPrEx>
          <w:tblCellMar>
            <w:top w:w="0" w:type="dxa"/>
            <w:left w:w="0" w:type="dxa"/>
            <w:bottom w:w="0" w:type="dxa"/>
            <w:right w:w="0" w:type="dxa"/>
          </w:tblCellMar>
        </w:tblPrEx>
        <w:trPr>
          <w:trHeight w:val="887"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31CD280F">
            <w:pPr>
              <w:pStyle w:val="31"/>
              <w:kinsoku w:val="0"/>
              <w:overflowPunct w:val="0"/>
              <w:spacing w:before="145"/>
              <w:ind w:left="137"/>
              <w:rPr>
                <w:rFonts w:hint="eastAsia" w:ascii="仿宋" w:hAnsi="仿宋" w:eastAsia="仿宋" w:cs="仿宋"/>
                <w:color w:val="auto"/>
                <w:sz w:val="28"/>
                <w:szCs w:val="28"/>
              </w:rPr>
            </w:pPr>
            <w:r>
              <w:rPr>
                <w:rFonts w:hint="eastAsia" w:ascii="仿宋" w:hAnsi="仿宋" w:eastAsia="仿宋" w:cs="仿宋"/>
                <w:color w:val="auto"/>
                <w:sz w:val="28"/>
                <w:szCs w:val="28"/>
              </w:rPr>
              <w:t>成立时间</w:t>
            </w:r>
          </w:p>
        </w:tc>
        <w:tc>
          <w:tcPr>
            <w:tcW w:w="1987" w:type="dxa"/>
            <w:gridSpan w:val="2"/>
            <w:tcBorders>
              <w:top w:val="single" w:color="000000" w:sz="4" w:space="0"/>
              <w:left w:val="single" w:color="000000" w:sz="4" w:space="0"/>
              <w:bottom w:val="single" w:color="000000" w:sz="4" w:space="0"/>
              <w:right w:val="single" w:color="000000" w:sz="4" w:space="0"/>
            </w:tcBorders>
            <w:noWrap w:val="0"/>
            <w:vAlign w:val="top"/>
          </w:tcPr>
          <w:p w14:paraId="15755A50">
            <w:pPr>
              <w:rPr>
                <w:rFonts w:hint="eastAsia" w:ascii="仿宋" w:hAnsi="仿宋" w:eastAsia="仿宋" w:cs="仿宋"/>
                <w:color w:val="auto"/>
                <w:sz w:val="28"/>
                <w:szCs w:val="28"/>
              </w:rPr>
            </w:pPr>
          </w:p>
        </w:tc>
        <w:tc>
          <w:tcPr>
            <w:tcW w:w="2294" w:type="dxa"/>
            <w:gridSpan w:val="4"/>
            <w:tcBorders>
              <w:top w:val="single" w:color="000000" w:sz="4" w:space="0"/>
              <w:left w:val="single" w:color="000000" w:sz="4" w:space="0"/>
              <w:bottom w:val="single" w:color="000000" w:sz="4" w:space="0"/>
              <w:right w:val="single" w:color="000000" w:sz="4" w:space="0"/>
            </w:tcBorders>
            <w:noWrap w:val="0"/>
            <w:vAlign w:val="top"/>
          </w:tcPr>
          <w:p w14:paraId="19025880">
            <w:pPr>
              <w:pStyle w:val="31"/>
              <w:kinsoku w:val="0"/>
              <w:overflowPunct w:val="0"/>
              <w:spacing w:before="145"/>
              <w:ind w:left="181"/>
              <w:rPr>
                <w:rFonts w:hint="eastAsia" w:ascii="仿宋" w:hAnsi="仿宋" w:eastAsia="仿宋" w:cs="仿宋"/>
                <w:color w:val="auto"/>
                <w:sz w:val="28"/>
                <w:szCs w:val="28"/>
              </w:rPr>
            </w:pPr>
            <w:r>
              <w:rPr>
                <w:rFonts w:hint="eastAsia" w:ascii="仿宋" w:hAnsi="仿宋" w:eastAsia="仿宋" w:cs="仿宋"/>
                <w:color w:val="auto"/>
                <w:sz w:val="28"/>
                <w:szCs w:val="28"/>
              </w:rPr>
              <w:t>注册资金（万元）</w:t>
            </w:r>
          </w:p>
        </w:tc>
        <w:tc>
          <w:tcPr>
            <w:tcW w:w="2884" w:type="dxa"/>
            <w:gridSpan w:val="3"/>
            <w:tcBorders>
              <w:top w:val="single" w:color="000000" w:sz="4" w:space="0"/>
              <w:left w:val="single" w:color="000000" w:sz="4" w:space="0"/>
              <w:bottom w:val="single" w:color="000000" w:sz="4" w:space="0"/>
              <w:right w:val="single" w:color="000000" w:sz="4" w:space="0"/>
            </w:tcBorders>
            <w:noWrap w:val="0"/>
            <w:vAlign w:val="top"/>
          </w:tcPr>
          <w:p w14:paraId="28014DFF">
            <w:pPr>
              <w:rPr>
                <w:rFonts w:hint="eastAsia" w:ascii="仿宋" w:hAnsi="仿宋" w:eastAsia="仿宋" w:cs="仿宋"/>
                <w:color w:val="auto"/>
                <w:sz w:val="28"/>
                <w:szCs w:val="28"/>
              </w:rPr>
            </w:pPr>
          </w:p>
        </w:tc>
      </w:tr>
      <w:tr w14:paraId="136731FC">
        <w:tblPrEx>
          <w:tblCellMar>
            <w:top w:w="0" w:type="dxa"/>
            <w:left w:w="0" w:type="dxa"/>
            <w:bottom w:w="0" w:type="dxa"/>
            <w:right w:w="0" w:type="dxa"/>
          </w:tblCellMar>
        </w:tblPrEx>
        <w:trPr>
          <w:trHeight w:val="691"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04E849A5">
            <w:pPr>
              <w:pStyle w:val="31"/>
              <w:kinsoku w:val="0"/>
              <w:overflowPunct w:val="0"/>
              <w:spacing w:before="146"/>
              <w:ind w:left="137"/>
              <w:rPr>
                <w:rFonts w:hint="eastAsia" w:ascii="仿宋" w:hAnsi="仿宋" w:eastAsia="仿宋" w:cs="仿宋"/>
                <w:color w:val="auto"/>
                <w:sz w:val="28"/>
                <w:szCs w:val="28"/>
              </w:rPr>
            </w:pPr>
            <w:r>
              <w:rPr>
                <w:rFonts w:hint="eastAsia" w:ascii="仿宋" w:hAnsi="仿宋" w:eastAsia="仿宋" w:cs="仿宋"/>
                <w:color w:val="auto"/>
                <w:sz w:val="28"/>
                <w:szCs w:val="28"/>
              </w:rPr>
              <w:t>单位性质</w:t>
            </w: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70F8C49E">
            <w:pPr>
              <w:rPr>
                <w:rFonts w:hint="eastAsia" w:ascii="仿宋" w:hAnsi="仿宋" w:eastAsia="仿宋" w:cs="仿宋"/>
                <w:color w:val="auto"/>
                <w:sz w:val="28"/>
                <w:szCs w:val="28"/>
              </w:rPr>
            </w:pPr>
          </w:p>
        </w:tc>
      </w:tr>
      <w:tr w14:paraId="0F1D494F">
        <w:tblPrEx>
          <w:tblCellMar>
            <w:top w:w="0" w:type="dxa"/>
            <w:left w:w="0" w:type="dxa"/>
            <w:bottom w:w="0" w:type="dxa"/>
            <w:right w:w="0" w:type="dxa"/>
          </w:tblCellMar>
        </w:tblPrEx>
        <w:trPr>
          <w:trHeight w:val="1329"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19C634A1">
            <w:pPr>
              <w:pStyle w:val="31"/>
              <w:kinsoku w:val="0"/>
              <w:overflowPunct w:val="0"/>
              <w:spacing w:before="141" w:line="312" w:lineRule="exact"/>
              <w:ind w:left="257" w:right="133" w:hanging="120"/>
              <w:rPr>
                <w:rFonts w:hint="eastAsia" w:ascii="仿宋" w:hAnsi="仿宋" w:eastAsia="仿宋" w:cs="仿宋"/>
                <w:color w:val="auto"/>
                <w:sz w:val="28"/>
                <w:szCs w:val="28"/>
              </w:rPr>
            </w:pPr>
            <w:r>
              <w:rPr>
                <w:rFonts w:hint="eastAsia" w:ascii="仿宋" w:hAnsi="仿宋" w:eastAsia="仿宋" w:cs="仿宋"/>
                <w:color w:val="auto"/>
                <w:sz w:val="28"/>
                <w:szCs w:val="28"/>
              </w:rPr>
              <w:t>投标期间 联系人</w:t>
            </w: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0831CB5D">
            <w:pPr>
              <w:rPr>
                <w:rFonts w:hint="eastAsia" w:ascii="仿宋" w:hAnsi="仿宋" w:eastAsia="仿宋" w:cs="仿宋"/>
                <w:color w:val="auto"/>
                <w:sz w:val="28"/>
                <w:szCs w:val="28"/>
              </w:rPr>
            </w:pPr>
          </w:p>
        </w:tc>
        <w:tc>
          <w:tcPr>
            <w:tcW w:w="1030" w:type="dxa"/>
            <w:gridSpan w:val="2"/>
            <w:tcBorders>
              <w:top w:val="single" w:color="000000" w:sz="4" w:space="0"/>
              <w:left w:val="single" w:color="000000" w:sz="4" w:space="0"/>
              <w:bottom w:val="single" w:color="000000" w:sz="4" w:space="0"/>
              <w:right w:val="single" w:color="000000" w:sz="4" w:space="0"/>
            </w:tcBorders>
            <w:noWrap w:val="0"/>
            <w:vAlign w:val="top"/>
          </w:tcPr>
          <w:p w14:paraId="713117B2">
            <w:pPr>
              <w:pStyle w:val="31"/>
              <w:kinsoku w:val="0"/>
              <w:overflowPunct w:val="0"/>
              <w:spacing w:before="4"/>
              <w:rPr>
                <w:rFonts w:hint="eastAsia" w:ascii="仿宋" w:hAnsi="仿宋" w:eastAsia="仿宋" w:cs="仿宋"/>
                <w:b/>
                <w:bCs/>
                <w:color w:val="auto"/>
                <w:sz w:val="28"/>
                <w:szCs w:val="28"/>
              </w:rPr>
            </w:pPr>
          </w:p>
          <w:p w14:paraId="537C5497">
            <w:pPr>
              <w:pStyle w:val="31"/>
              <w:kinsoku w:val="0"/>
              <w:overflowPunct w:val="0"/>
              <w:ind w:left="366"/>
              <w:rPr>
                <w:rFonts w:hint="eastAsia" w:ascii="仿宋" w:hAnsi="仿宋" w:eastAsia="仿宋" w:cs="仿宋"/>
                <w:color w:val="auto"/>
                <w:sz w:val="28"/>
                <w:szCs w:val="28"/>
              </w:rPr>
            </w:pPr>
            <w:r>
              <w:rPr>
                <w:rFonts w:hint="eastAsia" w:ascii="仿宋" w:hAnsi="仿宋" w:eastAsia="仿宋" w:cs="仿宋"/>
                <w:color w:val="auto"/>
                <w:sz w:val="28"/>
                <w:szCs w:val="28"/>
              </w:rPr>
              <w:t>电 话</w:t>
            </w:r>
          </w:p>
        </w:tc>
        <w:tc>
          <w:tcPr>
            <w:tcW w:w="1343" w:type="dxa"/>
            <w:gridSpan w:val="2"/>
            <w:tcBorders>
              <w:top w:val="single" w:color="000000" w:sz="4" w:space="0"/>
              <w:left w:val="single" w:color="000000" w:sz="4" w:space="0"/>
              <w:bottom w:val="single" w:color="000000" w:sz="4" w:space="0"/>
              <w:right w:val="single" w:color="000000" w:sz="4" w:space="0"/>
            </w:tcBorders>
            <w:noWrap w:val="0"/>
            <w:vAlign w:val="top"/>
          </w:tcPr>
          <w:p w14:paraId="3CB8BB8F">
            <w:pPr>
              <w:rPr>
                <w:rFonts w:hint="eastAsia" w:ascii="仿宋" w:hAnsi="仿宋" w:eastAsia="仿宋" w:cs="仿宋"/>
                <w:color w:val="auto"/>
                <w:sz w:val="28"/>
                <w:szCs w:val="28"/>
              </w:rPr>
            </w:pPr>
          </w:p>
        </w:tc>
        <w:tc>
          <w:tcPr>
            <w:tcW w:w="1377" w:type="dxa"/>
            <w:gridSpan w:val="3"/>
            <w:tcBorders>
              <w:top w:val="single" w:color="000000" w:sz="4" w:space="0"/>
              <w:left w:val="single" w:color="000000" w:sz="4" w:space="0"/>
              <w:bottom w:val="single" w:color="000000" w:sz="4" w:space="0"/>
              <w:right w:val="single" w:color="000000" w:sz="4" w:space="0"/>
            </w:tcBorders>
            <w:noWrap w:val="0"/>
            <w:vAlign w:val="top"/>
          </w:tcPr>
          <w:p w14:paraId="0BC9AD47">
            <w:pPr>
              <w:pStyle w:val="31"/>
              <w:kinsoku w:val="0"/>
              <w:overflowPunct w:val="0"/>
              <w:spacing w:before="4"/>
              <w:rPr>
                <w:rFonts w:hint="eastAsia" w:ascii="仿宋" w:hAnsi="仿宋" w:eastAsia="仿宋" w:cs="仿宋"/>
                <w:b/>
                <w:bCs/>
                <w:color w:val="auto"/>
                <w:sz w:val="28"/>
                <w:szCs w:val="28"/>
              </w:rPr>
            </w:pPr>
          </w:p>
          <w:p w14:paraId="6423C9FB">
            <w:pPr>
              <w:pStyle w:val="31"/>
              <w:kinsoku w:val="0"/>
              <w:overflowPunct w:val="0"/>
              <w:ind w:left="383"/>
              <w:rPr>
                <w:rFonts w:hint="eastAsia" w:ascii="仿宋" w:hAnsi="仿宋" w:eastAsia="仿宋" w:cs="仿宋"/>
                <w:color w:val="auto"/>
                <w:sz w:val="28"/>
                <w:szCs w:val="28"/>
              </w:rPr>
            </w:pPr>
            <w:r>
              <w:rPr>
                <w:rFonts w:hint="eastAsia" w:ascii="仿宋" w:hAnsi="仿宋" w:eastAsia="仿宋" w:cs="仿宋"/>
                <w:color w:val="auto"/>
                <w:sz w:val="28"/>
                <w:szCs w:val="28"/>
              </w:rPr>
              <w:t>传 真</w:t>
            </w:r>
          </w:p>
        </w:tc>
        <w:tc>
          <w:tcPr>
            <w:tcW w:w="1965" w:type="dxa"/>
            <w:tcBorders>
              <w:top w:val="single" w:color="000000" w:sz="4" w:space="0"/>
              <w:left w:val="single" w:color="000000" w:sz="4" w:space="0"/>
              <w:bottom w:val="single" w:color="000000" w:sz="4" w:space="0"/>
              <w:right w:val="single" w:color="000000" w:sz="4" w:space="0"/>
            </w:tcBorders>
            <w:noWrap w:val="0"/>
            <w:vAlign w:val="top"/>
          </w:tcPr>
          <w:p w14:paraId="1B32FEB3">
            <w:pPr>
              <w:rPr>
                <w:rFonts w:hint="eastAsia" w:ascii="仿宋" w:hAnsi="仿宋" w:eastAsia="仿宋" w:cs="仿宋"/>
                <w:color w:val="auto"/>
                <w:sz w:val="28"/>
                <w:szCs w:val="28"/>
              </w:rPr>
            </w:pPr>
          </w:p>
        </w:tc>
      </w:tr>
      <w:tr w14:paraId="7105C849">
        <w:tblPrEx>
          <w:tblCellMar>
            <w:top w:w="0" w:type="dxa"/>
            <w:left w:w="0" w:type="dxa"/>
            <w:bottom w:w="0" w:type="dxa"/>
            <w:right w:w="0" w:type="dxa"/>
          </w:tblCellMar>
        </w:tblPrEx>
        <w:trPr>
          <w:trHeight w:val="921" w:hRule="exact"/>
          <w:jc w:val="center"/>
        </w:trPr>
        <w:tc>
          <w:tcPr>
            <w:tcW w:w="1549" w:type="dxa"/>
            <w:vMerge w:val="restart"/>
            <w:tcBorders>
              <w:top w:val="single" w:color="000000" w:sz="4" w:space="0"/>
              <w:left w:val="single" w:color="000000" w:sz="4" w:space="0"/>
              <w:bottom w:val="single" w:color="000000" w:sz="4" w:space="0"/>
              <w:right w:val="single" w:color="000000" w:sz="4" w:space="0"/>
            </w:tcBorders>
            <w:noWrap w:val="0"/>
            <w:vAlign w:val="top"/>
          </w:tcPr>
          <w:p w14:paraId="28862EC4">
            <w:pPr>
              <w:pStyle w:val="31"/>
              <w:kinsoku w:val="0"/>
              <w:overflowPunct w:val="0"/>
              <w:spacing w:line="475" w:lineRule="auto"/>
              <w:ind w:right="493"/>
              <w:jc w:val="both"/>
              <w:rPr>
                <w:rFonts w:hint="eastAsia" w:ascii="仿宋" w:hAnsi="仿宋" w:eastAsia="仿宋" w:cs="仿宋"/>
                <w:color w:val="auto"/>
                <w:sz w:val="28"/>
                <w:szCs w:val="28"/>
              </w:rPr>
            </w:pPr>
            <w:r>
              <w:rPr>
                <w:rFonts w:hint="eastAsia" w:ascii="仿宋" w:hAnsi="仿宋" w:eastAsia="仿宋" w:cs="仿宋"/>
                <w:color w:val="auto"/>
                <w:sz w:val="28"/>
                <w:szCs w:val="28"/>
              </w:rPr>
              <w:t>职工概 况</w:t>
            </w: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4E3114CC">
            <w:pPr>
              <w:pStyle w:val="31"/>
              <w:kinsoku w:val="0"/>
              <w:overflowPunct w:val="0"/>
              <w:spacing w:before="144"/>
              <w:ind w:left="236"/>
              <w:rPr>
                <w:rFonts w:hint="eastAsia" w:ascii="仿宋" w:hAnsi="仿宋" w:eastAsia="仿宋" w:cs="仿宋"/>
                <w:color w:val="auto"/>
                <w:sz w:val="28"/>
                <w:szCs w:val="28"/>
              </w:rPr>
            </w:pPr>
            <w:r>
              <w:rPr>
                <w:rFonts w:hint="eastAsia" w:ascii="仿宋" w:hAnsi="仿宋" w:eastAsia="仿宋" w:cs="仿宋"/>
                <w:color w:val="auto"/>
                <w:sz w:val="28"/>
                <w:szCs w:val="28"/>
              </w:rPr>
              <w:t>职工总数</w:t>
            </w:r>
          </w:p>
        </w:tc>
        <w:tc>
          <w:tcPr>
            <w:tcW w:w="1030" w:type="dxa"/>
            <w:gridSpan w:val="2"/>
            <w:tcBorders>
              <w:top w:val="single" w:color="000000" w:sz="4" w:space="0"/>
              <w:left w:val="single" w:color="000000" w:sz="4" w:space="0"/>
              <w:bottom w:val="single" w:color="000000" w:sz="4" w:space="0"/>
              <w:right w:val="single" w:color="000000" w:sz="4" w:space="0"/>
            </w:tcBorders>
            <w:noWrap w:val="0"/>
            <w:vAlign w:val="top"/>
          </w:tcPr>
          <w:p w14:paraId="714F89C2">
            <w:pPr>
              <w:rPr>
                <w:rFonts w:hint="eastAsia" w:ascii="仿宋" w:hAnsi="仿宋" w:eastAsia="仿宋" w:cs="仿宋"/>
                <w:color w:val="auto"/>
                <w:sz w:val="28"/>
                <w:szCs w:val="28"/>
              </w:rPr>
            </w:pPr>
          </w:p>
        </w:tc>
        <w:tc>
          <w:tcPr>
            <w:tcW w:w="2168" w:type="dxa"/>
            <w:gridSpan w:val="4"/>
            <w:tcBorders>
              <w:top w:val="single" w:color="000000" w:sz="4" w:space="0"/>
              <w:left w:val="single" w:color="000000" w:sz="4" w:space="0"/>
              <w:bottom w:val="single" w:color="000000" w:sz="4" w:space="0"/>
              <w:right w:val="single" w:color="000000" w:sz="4" w:space="0"/>
            </w:tcBorders>
            <w:noWrap w:val="0"/>
            <w:vAlign w:val="top"/>
          </w:tcPr>
          <w:p w14:paraId="5DB3AD45">
            <w:pPr>
              <w:pStyle w:val="31"/>
              <w:kinsoku w:val="0"/>
              <w:overflowPunct w:val="0"/>
              <w:spacing w:before="144"/>
              <w:ind w:left="118"/>
              <w:rPr>
                <w:rFonts w:hint="eastAsia" w:ascii="仿宋" w:hAnsi="仿宋" w:eastAsia="仿宋" w:cs="仿宋"/>
                <w:color w:val="auto"/>
                <w:sz w:val="28"/>
                <w:szCs w:val="28"/>
              </w:rPr>
            </w:pPr>
            <w:r>
              <w:rPr>
                <w:rFonts w:hint="eastAsia" w:ascii="仿宋" w:hAnsi="仿宋" w:eastAsia="仿宋" w:cs="仿宋"/>
                <w:color w:val="auto"/>
                <w:sz w:val="28"/>
                <w:szCs w:val="28"/>
              </w:rPr>
              <w:t>其中：技术人员数</w:t>
            </w: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36BD5064">
            <w:pPr>
              <w:rPr>
                <w:rFonts w:hint="eastAsia" w:ascii="仿宋" w:hAnsi="仿宋" w:eastAsia="仿宋" w:cs="仿宋"/>
                <w:color w:val="auto"/>
                <w:sz w:val="28"/>
                <w:szCs w:val="28"/>
              </w:rPr>
            </w:pPr>
          </w:p>
        </w:tc>
      </w:tr>
      <w:tr w14:paraId="35A5DFA0">
        <w:tblPrEx>
          <w:tblCellMar>
            <w:top w:w="0" w:type="dxa"/>
            <w:left w:w="0" w:type="dxa"/>
            <w:bottom w:w="0" w:type="dxa"/>
            <w:right w:w="0" w:type="dxa"/>
          </w:tblCellMar>
        </w:tblPrEx>
        <w:trPr>
          <w:trHeight w:val="691" w:hRule="exact"/>
          <w:jc w:val="center"/>
        </w:trPr>
        <w:tc>
          <w:tcPr>
            <w:tcW w:w="1549" w:type="dxa"/>
            <w:vMerge w:val="continue"/>
            <w:tcBorders>
              <w:top w:val="single" w:color="000000" w:sz="4" w:space="0"/>
              <w:left w:val="single" w:color="000000" w:sz="4" w:space="0"/>
              <w:bottom w:val="single" w:color="000000" w:sz="4" w:space="0"/>
              <w:right w:val="single" w:color="000000" w:sz="4" w:space="0"/>
            </w:tcBorders>
            <w:noWrap w:val="0"/>
            <w:vAlign w:val="top"/>
          </w:tcPr>
          <w:p w14:paraId="2967846A">
            <w:pPr>
              <w:rPr>
                <w:rFonts w:hint="eastAsia" w:ascii="仿宋" w:hAnsi="仿宋" w:eastAsia="仿宋" w:cs="仿宋"/>
                <w:color w:val="auto"/>
                <w:sz w:val="28"/>
                <w:szCs w:val="28"/>
              </w:rPr>
            </w:pP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7460F4D0">
            <w:pPr>
              <w:pStyle w:val="31"/>
              <w:kinsoku w:val="0"/>
              <w:overflowPunct w:val="0"/>
              <w:spacing w:before="145"/>
              <w:jc w:val="center"/>
              <w:rPr>
                <w:rFonts w:hint="eastAsia" w:ascii="仿宋" w:hAnsi="仿宋" w:eastAsia="仿宋" w:cs="仿宋"/>
                <w:color w:val="auto"/>
                <w:sz w:val="28"/>
                <w:szCs w:val="28"/>
              </w:rPr>
            </w:pPr>
            <w:r>
              <w:rPr>
                <w:rFonts w:hint="eastAsia" w:ascii="仿宋" w:hAnsi="仿宋" w:eastAsia="仿宋" w:cs="仿宋"/>
                <w:color w:val="auto"/>
                <w:sz w:val="28"/>
                <w:szCs w:val="28"/>
              </w:rPr>
              <w:t>单位行政和技术负责人</w:t>
            </w:r>
          </w:p>
        </w:tc>
      </w:tr>
      <w:tr w14:paraId="46CC9E88">
        <w:tblPrEx>
          <w:tblCellMar>
            <w:top w:w="0" w:type="dxa"/>
            <w:left w:w="0" w:type="dxa"/>
            <w:bottom w:w="0" w:type="dxa"/>
            <w:right w:w="0" w:type="dxa"/>
          </w:tblCellMar>
        </w:tblPrEx>
        <w:trPr>
          <w:trHeight w:val="691" w:hRule="exact"/>
          <w:jc w:val="center"/>
        </w:trPr>
        <w:tc>
          <w:tcPr>
            <w:tcW w:w="1549" w:type="dxa"/>
            <w:vMerge w:val="continue"/>
            <w:tcBorders>
              <w:top w:val="single" w:color="000000" w:sz="4" w:space="0"/>
              <w:left w:val="single" w:color="000000" w:sz="4" w:space="0"/>
              <w:bottom w:val="single" w:color="000000" w:sz="4" w:space="0"/>
              <w:right w:val="single" w:color="000000" w:sz="4" w:space="0"/>
            </w:tcBorders>
            <w:noWrap w:val="0"/>
            <w:vAlign w:val="top"/>
          </w:tcPr>
          <w:p w14:paraId="447A1436">
            <w:pPr>
              <w:pStyle w:val="31"/>
              <w:kinsoku w:val="0"/>
              <w:overflowPunct w:val="0"/>
              <w:spacing w:before="145"/>
              <w:jc w:val="center"/>
              <w:rPr>
                <w:rFonts w:hint="eastAsia" w:ascii="仿宋" w:hAnsi="仿宋" w:eastAsia="仿宋" w:cs="仿宋"/>
                <w:color w:val="auto"/>
                <w:sz w:val="28"/>
                <w:szCs w:val="28"/>
              </w:rPr>
            </w:pP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0D0F1AB9">
            <w:pPr>
              <w:pStyle w:val="31"/>
              <w:kinsoku w:val="0"/>
              <w:overflowPunct w:val="0"/>
              <w:spacing w:before="145"/>
              <w:ind w:left="416"/>
              <w:rPr>
                <w:rFonts w:hint="eastAsia" w:ascii="仿宋" w:hAnsi="仿宋" w:eastAsia="仿宋" w:cs="仿宋"/>
                <w:color w:val="auto"/>
                <w:sz w:val="28"/>
                <w:szCs w:val="28"/>
              </w:rPr>
            </w:pPr>
            <w:r>
              <w:rPr>
                <w:rFonts w:hint="eastAsia" w:ascii="仿宋" w:hAnsi="仿宋" w:eastAsia="仿宋" w:cs="仿宋"/>
                <w:color w:val="auto"/>
                <w:sz w:val="28"/>
                <w:szCs w:val="28"/>
              </w:rPr>
              <w:t>姓 名</w:t>
            </w:r>
          </w:p>
        </w:tc>
        <w:tc>
          <w:tcPr>
            <w:tcW w:w="1685" w:type="dxa"/>
            <w:gridSpan w:val="3"/>
            <w:tcBorders>
              <w:top w:val="single" w:color="000000" w:sz="4" w:space="0"/>
              <w:left w:val="single" w:color="000000" w:sz="4" w:space="0"/>
              <w:bottom w:val="single" w:color="000000" w:sz="4" w:space="0"/>
              <w:right w:val="single" w:color="000000" w:sz="4" w:space="0"/>
            </w:tcBorders>
            <w:noWrap w:val="0"/>
            <w:vAlign w:val="top"/>
          </w:tcPr>
          <w:p w14:paraId="71220AC7">
            <w:pPr>
              <w:pStyle w:val="31"/>
              <w:kinsoku w:val="0"/>
              <w:overflowPunct w:val="0"/>
              <w:spacing w:before="145"/>
              <w:ind w:left="452"/>
              <w:rPr>
                <w:rFonts w:hint="eastAsia" w:ascii="仿宋" w:hAnsi="仿宋" w:eastAsia="仿宋" w:cs="仿宋"/>
                <w:color w:val="auto"/>
                <w:sz w:val="28"/>
                <w:szCs w:val="28"/>
              </w:rPr>
            </w:pPr>
            <w:r>
              <w:rPr>
                <w:rFonts w:hint="eastAsia" w:ascii="仿宋" w:hAnsi="仿宋" w:eastAsia="仿宋" w:cs="仿宋"/>
                <w:color w:val="auto"/>
                <w:sz w:val="28"/>
                <w:szCs w:val="28"/>
              </w:rPr>
              <w:t>职务/职称</w:t>
            </w:r>
          </w:p>
        </w:tc>
        <w:tc>
          <w:tcPr>
            <w:tcW w:w="1513" w:type="dxa"/>
            <w:gridSpan w:val="3"/>
            <w:tcBorders>
              <w:top w:val="single" w:color="000000" w:sz="4" w:space="0"/>
              <w:left w:val="single" w:color="000000" w:sz="4" w:space="0"/>
              <w:bottom w:val="single" w:color="000000" w:sz="4" w:space="0"/>
              <w:right w:val="single" w:color="000000" w:sz="4" w:space="0"/>
            </w:tcBorders>
            <w:noWrap w:val="0"/>
            <w:vAlign w:val="top"/>
          </w:tcPr>
          <w:p w14:paraId="504A6D40">
            <w:pPr>
              <w:pStyle w:val="31"/>
              <w:kinsoku w:val="0"/>
              <w:overflowPunct w:val="0"/>
              <w:spacing w:before="145"/>
              <w:ind w:left="450"/>
              <w:rPr>
                <w:rFonts w:hint="eastAsia" w:ascii="仿宋" w:hAnsi="仿宋" w:eastAsia="仿宋" w:cs="仿宋"/>
                <w:color w:val="auto"/>
                <w:sz w:val="28"/>
                <w:szCs w:val="28"/>
              </w:rPr>
            </w:pPr>
            <w:r>
              <w:rPr>
                <w:rFonts w:hint="eastAsia" w:ascii="仿宋" w:hAnsi="仿宋" w:eastAsia="仿宋" w:cs="仿宋"/>
                <w:color w:val="auto"/>
                <w:sz w:val="28"/>
                <w:szCs w:val="28"/>
              </w:rPr>
              <w:t>年 龄</w:t>
            </w: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1D15E84D">
            <w:pPr>
              <w:pStyle w:val="31"/>
              <w:tabs>
                <w:tab w:val="left" w:pos="479"/>
              </w:tabs>
              <w:kinsoku w:val="0"/>
              <w:overflowPunct w:val="0"/>
              <w:spacing w:before="145"/>
              <w:ind w:right="1"/>
              <w:jc w:val="center"/>
              <w:rPr>
                <w:rFonts w:hint="eastAsia" w:ascii="仿宋" w:hAnsi="仿宋" w:eastAsia="仿宋" w:cs="仿宋"/>
                <w:color w:val="auto"/>
                <w:sz w:val="28"/>
                <w:szCs w:val="28"/>
              </w:rPr>
            </w:pPr>
            <w:r>
              <w:rPr>
                <w:rFonts w:hint="eastAsia" w:ascii="仿宋" w:hAnsi="仿宋" w:eastAsia="仿宋" w:cs="仿宋"/>
                <w:color w:val="auto"/>
                <w:sz w:val="28"/>
                <w:szCs w:val="28"/>
              </w:rPr>
              <w:t>专</w:t>
            </w:r>
            <w:r>
              <w:rPr>
                <w:rFonts w:hint="eastAsia" w:ascii="仿宋" w:hAnsi="仿宋" w:eastAsia="仿宋" w:cs="仿宋"/>
                <w:color w:val="auto"/>
                <w:sz w:val="28"/>
                <w:szCs w:val="28"/>
              </w:rPr>
              <w:tab/>
            </w:r>
            <w:r>
              <w:rPr>
                <w:rFonts w:hint="eastAsia" w:ascii="仿宋" w:hAnsi="仿宋" w:eastAsia="仿宋" w:cs="仿宋"/>
                <w:color w:val="auto"/>
                <w:sz w:val="28"/>
                <w:szCs w:val="28"/>
              </w:rPr>
              <w:t>业</w:t>
            </w:r>
          </w:p>
        </w:tc>
      </w:tr>
      <w:tr w14:paraId="572B3E14">
        <w:tblPrEx>
          <w:tblCellMar>
            <w:top w:w="0" w:type="dxa"/>
            <w:left w:w="0" w:type="dxa"/>
            <w:bottom w:w="0" w:type="dxa"/>
            <w:right w:w="0" w:type="dxa"/>
          </w:tblCellMar>
        </w:tblPrEx>
        <w:trPr>
          <w:trHeight w:val="425" w:hRule="exact"/>
          <w:jc w:val="center"/>
        </w:trPr>
        <w:tc>
          <w:tcPr>
            <w:tcW w:w="1549" w:type="dxa"/>
            <w:vMerge w:val="continue"/>
            <w:tcBorders>
              <w:top w:val="single" w:color="000000" w:sz="4" w:space="0"/>
              <w:left w:val="single" w:color="000000" w:sz="4" w:space="0"/>
              <w:bottom w:val="single" w:color="000000" w:sz="4" w:space="0"/>
              <w:right w:val="single" w:color="000000" w:sz="4" w:space="0"/>
            </w:tcBorders>
            <w:noWrap w:val="0"/>
            <w:vAlign w:val="top"/>
          </w:tcPr>
          <w:p w14:paraId="770D2187">
            <w:pPr>
              <w:pStyle w:val="31"/>
              <w:tabs>
                <w:tab w:val="left" w:pos="479"/>
              </w:tabs>
              <w:kinsoku w:val="0"/>
              <w:overflowPunct w:val="0"/>
              <w:spacing w:before="145"/>
              <w:ind w:right="1"/>
              <w:jc w:val="center"/>
              <w:rPr>
                <w:rFonts w:hint="eastAsia" w:ascii="仿宋" w:hAnsi="仿宋" w:eastAsia="仿宋" w:cs="仿宋"/>
                <w:color w:val="auto"/>
                <w:sz w:val="28"/>
                <w:szCs w:val="28"/>
              </w:rPr>
            </w:pP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7C589690">
            <w:pPr>
              <w:rPr>
                <w:rFonts w:hint="eastAsia" w:ascii="仿宋" w:hAnsi="仿宋" w:eastAsia="仿宋" w:cs="仿宋"/>
                <w:color w:val="auto"/>
                <w:sz w:val="28"/>
                <w:szCs w:val="28"/>
              </w:rPr>
            </w:pPr>
          </w:p>
        </w:tc>
        <w:tc>
          <w:tcPr>
            <w:tcW w:w="1685" w:type="dxa"/>
            <w:gridSpan w:val="3"/>
            <w:tcBorders>
              <w:top w:val="single" w:color="000000" w:sz="4" w:space="0"/>
              <w:left w:val="single" w:color="000000" w:sz="4" w:space="0"/>
              <w:bottom w:val="single" w:color="000000" w:sz="4" w:space="0"/>
              <w:right w:val="single" w:color="000000" w:sz="4" w:space="0"/>
            </w:tcBorders>
            <w:noWrap w:val="0"/>
            <w:vAlign w:val="top"/>
          </w:tcPr>
          <w:p w14:paraId="02352F7E">
            <w:pPr>
              <w:rPr>
                <w:rFonts w:hint="eastAsia" w:ascii="仿宋" w:hAnsi="仿宋" w:eastAsia="仿宋" w:cs="仿宋"/>
                <w:color w:val="auto"/>
                <w:sz w:val="28"/>
                <w:szCs w:val="28"/>
              </w:rPr>
            </w:pPr>
          </w:p>
        </w:tc>
        <w:tc>
          <w:tcPr>
            <w:tcW w:w="1513" w:type="dxa"/>
            <w:gridSpan w:val="3"/>
            <w:tcBorders>
              <w:top w:val="single" w:color="000000" w:sz="4" w:space="0"/>
              <w:left w:val="single" w:color="000000" w:sz="4" w:space="0"/>
              <w:bottom w:val="single" w:color="000000" w:sz="4" w:space="0"/>
              <w:right w:val="single" w:color="000000" w:sz="4" w:space="0"/>
            </w:tcBorders>
            <w:noWrap w:val="0"/>
            <w:vAlign w:val="top"/>
          </w:tcPr>
          <w:p w14:paraId="1AD500AB">
            <w:pPr>
              <w:rPr>
                <w:rFonts w:hint="eastAsia" w:ascii="仿宋" w:hAnsi="仿宋" w:eastAsia="仿宋" w:cs="仿宋"/>
                <w:color w:val="auto"/>
                <w:sz w:val="28"/>
                <w:szCs w:val="28"/>
              </w:rPr>
            </w:pP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149568CA">
            <w:pPr>
              <w:rPr>
                <w:rFonts w:hint="eastAsia" w:ascii="仿宋" w:hAnsi="仿宋" w:eastAsia="仿宋" w:cs="仿宋"/>
                <w:color w:val="auto"/>
                <w:sz w:val="28"/>
                <w:szCs w:val="28"/>
              </w:rPr>
            </w:pPr>
          </w:p>
        </w:tc>
      </w:tr>
      <w:tr w14:paraId="6B898440">
        <w:tblPrEx>
          <w:tblCellMar>
            <w:top w:w="0" w:type="dxa"/>
            <w:left w:w="0" w:type="dxa"/>
            <w:bottom w:w="0" w:type="dxa"/>
            <w:right w:w="0" w:type="dxa"/>
          </w:tblCellMar>
        </w:tblPrEx>
        <w:trPr>
          <w:trHeight w:val="371" w:hRule="exact"/>
          <w:jc w:val="center"/>
        </w:trPr>
        <w:tc>
          <w:tcPr>
            <w:tcW w:w="1549" w:type="dxa"/>
            <w:vMerge w:val="continue"/>
            <w:tcBorders>
              <w:top w:val="single" w:color="000000" w:sz="4" w:space="0"/>
              <w:left w:val="single" w:color="000000" w:sz="4" w:space="0"/>
              <w:bottom w:val="single" w:color="000000" w:sz="4" w:space="0"/>
              <w:right w:val="single" w:color="000000" w:sz="4" w:space="0"/>
            </w:tcBorders>
            <w:noWrap w:val="0"/>
            <w:vAlign w:val="top"/>
          </w:tcPr>
          <w:p w14:paraId="1DFF9EA1">
            <w:pPr>
              <w:rPr>
                <w:rFonts w:hint="eastAsia" w:ascii="仿宋" w:hAnsi="仿宋" w:eastAsia="仿宋" w:cs="仿宋"/>
                <w:color w:val="auto"/>
                <w:sz w:val="28"/>
                <w:szCs w:val="28"/>
              </w:rPr>
            </w:pP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26BEFC77">
            <w:pPr>
              <w:rPr>
                <w:rFonts w:hint="eastAsia" w:ascii="仿宋" w:hAnsi="仿宋" w:eastAsia="仿宋" w:cs="仿宋"/>
                <w:color w:val="auto"/>
                <w:sz w:val="28"/>
                <w:szCs w:val="28"/>
              </w:rPr>
            </w:pPr>
          </w:p>
        </w:tc>
        <w:tc>
          <w:tcPr>
            <w:tcW w:w="1685" w:type="dxa"/>
            <w:gridSpan w:val="3"/>
            <w:tcBorders>
              <w:top w:val="single" w:color="000000" w:sz="4" w:space="0"/>
              <w:left w:val="single" w:color="000000" w:sz="4" w:space="0"/>
              <w:bottom w:val="single" w:color="000000" w:sz="4" w:space="0"/>
              <w:right w:val="single" w:color="000000" w:sz="4" w:space="0"/>
            </w:tcBorders>
            <w:noWrap w:val="0"/>
            <w:vAlign w:val="top"/>
          </w:tcPr>
          <w:p w14:paraId="275317AD">
            <w:pPr>
              <w:rPr>
                <w:rFonts w:hint="eastAsia" w:ascii="仿宋" w:hAnsi="仿宋" w:eastAsia="仿宋" w:cs="仿宋"/>
                <w:color w:val="auto"/>
                <w:sz w:val="28"/>
                <w:szCs w:val="28"/>
              </w:rPr>
            </w:pPr>
          </w:p>
        </w:tc>
        <w:tc>
          <w:tcPr>
            <w:tcW w:w="1513" w:type="dxa"/>
            <w:gridSpan w:val="3"/>
            <w:tcBorders>
              <w:top w:val="single" w:color="000000" w:sz="4" w:space="0"/>
              <w:left w:val="single" w:color="000000" w:sz="4" w:space="0"/>
              <w:bottom w:val="single" w:color="000000" w:sz="4" w:space="0"/>
              <w:right w:val="single" w:color="000000" w:sz="4" w:space="0"/>
            </w:tcBorders>
            <w:noWrap w:val="0"/>
            <w:vAlign w:val="top"/>
          </w:tcPr>
          <w:p w14:paraId="33F5C496">
            <w:pPr>
              <w:rPr>
                <w:rFonts w:hint="eastAsia" w:ascii="仿宋" w:hAnsi="仿宋" w:eastAsia="仿宋" w:cs="仿宋"/>
                <w:color w:val="auto"/>
                <w:sz w:val="28"/>
                <w:szCs w:val="28"/>
              </w:rPr>
            </w:pP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43442C18">
            <w:pPr>
              <w:rPr>
                <w:rFonts w:hint="eastAsia" w:ascii="仿宋" w:hAnsi="仿宋" w:eastAsia="仿宋" w:cs="仿宋"/>
                <w:color w:val="auto"/>
                <w:sz w:val="28"/>
                <w:szCs w:val="28"/>
              </w:rPr>
            </w:pPr>
          </w:p>
        </w:tc>
      </w:tr>
      <w:tr w14:paraId="69DCD90C">
        <w:tblPrEx>
          <w:tblCellMar>
            <w:top w:w="0" w:type="dxa"/>
            <w:left w:w="0" w:type="dxa"/>
            <w:bottom w:w="0" w:type="dxa"/>
            <w:right w:w="0" w:type="dxa"/>
          </w:tblCellMar>
        </w:tblPrEx>
        <w:trPr>
          <w:trHeight w:val="439" w:hRule="exact"/>
          <w:jc w:val="center"/>
        </w:trPr>
        <w:tc>
          <w:tcPr>
            <w:tcW w:w="1549" w:type="dxa"/>
            <w:vMerge w:val="continue"/>
            <w:tcBorders>
              <w:top w:val="single" w:color="000000" w:sz="4" w:space="0"/>
              <w:left w:val="single" w:color="000000" w:sz="4" w:space="0"/>
              <w:bottom w:val="single" w:color="000000" w:sz="4" w:space="0"/>
              <w:right w:val="single" w:color="000000" w:sz="4" w:space="0"/>
            </w:tcBorders>
            <w:noWrap w:val="0"/>
            <w:vAlign w:val="top"/>
          </w:tcPr>
          <w:p w14:paraId="69D496F0">
            <w:pPr>
              <w:rPr>
                <w:rFonts w:hint="eastAsia" w:ascii="仿宋" w:hAnsi="仿宋" w:eastAsia="仿宋" w:cs="仿宋"/>
                <w:color w:val="auto"/>
                <w:sz w:val="28"/>
                <w:szCs w:val="28"/>
              </w:rPr>
            </w:pP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7EB0EABC">
            <w:pPr>
              <w:rPr>
                <w:rFonts w:hint="eastAsia" w:ascii="仿宋" w:hAnsi="仿宋" w:eastAsia="仿宋" w:cs="仿宋"/>
                <w:color w:val="auto"/>
                <w:sz w:val="28"/>
                <w:szCs w:val="28"/>
              </w:rPr>
            </w:pPr>
          </w:p>
        </w:tc>
        <w:tc>
          <w:tcPr>
            <w:tcW w:w="1685" w:type="dxa"/>
            <w:gridSpan w:val="3"/>
            <w:tcBorders>
              <w:top w:val="single" w:color="000000" w:sz="4" w:space="0"/>
              <w:left w:val="single" w:color="000000" w:sz="4" w:space="0"/>
              <w:bottom w:val="single" w:color="000000" w:sz="4" w:space="0"/>
              <w:right w:val="single" w:color="000000" w:sz="4" w:space="0"/>
            </w:tcBorders>
            <w:noWrap w:val="0"/>
            <w:vAlign w:val="top"/>
          </w:tcPr>
          <w:p w14:paraId="4ABCF10C">
            <w:pPr>
              <w:rPr>
                <w:rFonts w:hint="eastAsia" w:ascii="仿宋" w:hAnsi="仿宋" w:eastAsia="仿宋" w:cs="仿宋"/>
                <w:color w:val="auto"/>
                <w:sz w:val="28"/>
                <w:szCs w:val="28"/>
              </w:rPr>
            </w:pPr>
          </w:p>
        </w:tc>
        <w:tc>
          <w:tcPr>
            <w:tcW w:w="1513" w:type="dxa"/>
            <w:gridSpan w:val="3"/>
            <w:tcBorders>
              <w:top w:val="single" w:color="000000" w:sz="4" w:space="0"/>
              <w:left w:val="single" w:color="000000" w:sz="4" w:space="0"/>
              <w:bottom w:val="single" w:color="000000" w:sz="4" w:space="0"/>
              <w:right w:val="single" w:color="000000" w:sz="4" w:space="0"/>
            </w:tcBorders>
            <w:noWrap w:val="0"/>
            <w:vAlign w:val="top"/>
          </w:tcPr>
          <w:p w14:paraId="663D273C">
            <w:pPr>
              <w:rPr>
                <w:rFonts w:hint="eastAsia" w:ascii="仿宋" w:hAnsi="仿宋" w:eastAsia="仿宋" w:cs="仿宋"/>
                <w:color w:val="auto"/>
                <w:sz w:val="28"/>
                <w:szCs w:val="28"/>
              </w:rPr>
            </w:pP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5622BE38">
            <w:pPr>
              <w:rPr>
                <w:rFonts w:hint="eastAsia" w:ascii="仿宋" w:hAnsi="仿宋" w:eastAsia="仿宋" w:cs="仿宋"/>
                <w:color w:val="auto"/>
                <w:sz w:val="28"/>
                <w:szCs w:val="28"/>
              </w:rPr>
            </w:pPr>
          </w:p>
        </w:tc>
      </w:tr>
      <w:tr w14:paraId="24860291">
        <w:tblPrEx>
          <w:tblCellMar>
            <w:top w:w="0" w:type="dxa"/>
            <w:left w:w="0" w:type="dxa"/>
            <w:bottom w:w="0" w:type="dxa"/>
            <w:right w:w="0" w:type="dxa"/>
          </w:tblCellMar>
        </w:tblPrEx>
        <w:trPr>
          <w:trHeight w:val="1620"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3B1A4FB0">
            <w:pPr>
              <w:pStyle w:val="31"/>
              <w:kinsoku w:val="0"/>
              <w:overflowPunct w:val="0"/>
              <w:spacing w:line="237" w:lineRule="auto"/>
              <w:ind w:right="493"/>
              <w:jc w:val="both"/>
              <w:rPr>
                <w:rFonts w:hint="eastAsia" w:ascii="仿宋" w:hAnsi="仿宋" w:eastAsia="仿宋" w:cs="仿宋"/>
                <w:color w:val="auto"/>
                <w:sz w:val="28"/>
                <w:szCs w:val="28"/>
              </w:rPr>
            </w:pPr>
            <w:r>
              <w:rPr>
                <w:rFonts w:hint="eastAsia" w:ascii="仿宋" w:hAnsi="仿宋" w:eastAsia="仿宋" w:cs="仿宋"/>
                <w:color w:val="auto"/>
                <w:sz w:val="28"/>
                <w:szCs w:val="28"/>
              </w:rPr>
              <w:t>单位概 况</w:t>
            </w: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4FB2A5C8">
            <w:pPr>
              <w:rPr>
                <w:rFonts w:hint="eastAsia" w:ascii="仿宋" w:hAnsi="仿宋" w:eastAsia="仿宋" w:cs="仿宋"/>
                <w:color w:val="auto"/>
                <w:sz w:val="28"/>
                <w:szCs w:val="28"/>
              </w:rPr>
            </w:pPr>
          </w:p>
        </w:tc>
      </w:tr>
    </w:tbl>
    <w:p w14:paraId="29078953">
      <w:pPr>
        <w:pStyle w:val="28"/>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auto"/>
          <w:sz w:val="28"/>
          <w:szCs w:val="28"/>
          <w:lang w:val="en-US" w:eastAsia="zh-CN"/>
        </w:rPr>
      </w:pPr>
    </w:p>
    <w:p w14:paraId="5815020D">
      <w:pPr>
        <w:pStyle w:val="28"/>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auto"/>
          <w:sz w:val="28"/>
          <w:szCs w:val="28"/>
          <w:lang w:val="en-US" w:eastAsia="zh-CN"/>
        </w:rPr>
      </w:pPr>
    </w:p>
    <w:p w14:paraId="75CE01B0">
      <w:pPr>
        <w:pStyle w:val="28"/>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auto"/>
          <w:sz w:val="28"/>
          <w:szCs w:val="28"/>
          <w:lang w:val="en-US" w:eastAsia="zh-CN"/>
        </w:rPr>
      </w:pPr>
    </w:p>
    <w:p w14:paraId="62274C68">
      <w:pPr>
        <w:pStyle w:val="28"/>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auto"/>
          <w:sz w:val="28"/>
          <w:szCs w:val="28"/>
          <w:lang w:val="en-US" w:eastAsia="zh-CN"/>
        </w:rPr>
      </w:pPr>
    </w:p>
    <w:p w14:paraId="2C995344">
      <w:pPr>
        <w:shd w:val="clear" w:color="auto" w:fill="auto"/>
        <w:spacing w:line="360" w:lineRule="auto"/>
        <w:jc w:val="both"/>
        <w:rPr>
          <w:rFonts w:hint="eastAsia" w:ascii="仿宋" w:hAnsi="仿宋" w:eastAsia="仿宋" w:cs="仿宋"/>
          <w:b/>
          <w:bCs w:val="0"/>
          <w:color w:val="auto"/>
          <w:kern w:val="0"/>
          <w:sz w:val="28"/>
          <w:szCs w:val="28"/>
          <w:lang w:val="en-US" w:eastAsia="zh-CN"/>
        </w:rPr>
      </w:pPr>
    </w:p>
    <w:p w14:paraId="3059AB99">
      <w:pPr>
        <w:shd w:val="clear" w:color="auto" w:fill="auto"/>
        <w:spacing w:line="360" w:lineRule="auto"/>
        <w:jc w:val="center"/>
        <w:rPr>
          <w:rFonts w:hint="eastAsia" w:ascii="仿宋" w:hAnsi="仿宋" w:eastAsia="仿宋" w:cs="仿宋"/>
          <w:b/>
          <w:bCs w:val="0"/>
          <w:color w:val="auto"/>
          <w:kern w:val="0"/>
          <w:sz w:val="28"/>
          <w:szCs w:val="28"/>
        </w:rPr>
      </w:pPr>
      <w:r>
        <w:rPr>
          <w:rFonts w:hint="eastAsia" w:ascii="仿宋" w:hAnsi="仿宋" w:eastAsia="仿宋" w:cs="仿宋"/>
          <w:b/>
          <w:bCs w:val="0"/>
          <w:color w:val="auto"/>
          <w:kern w:val="0"/>
          <w:sz w:val="28"/>
          <w:szCs w:val="28"/>
          <w:lang w:val="en-US" w:eastAsia="zh-CN"/>
        </w:rPr>
        <w:t>8</w:t>
      </w:r>
      <w:r>
        <w:rPr>
          <w:rFonts w:hint="eastAsia" w:ascii="仿宋" w:hAnsi="仿宋" w:eastAsia="仿宋" w:cs="仿宋"/>
          <w:b/>
          <w:bCs w:val="0"/>
          <w:color w:val="auto"/>
          <w:kern w:val="0"/>
          <w:sz w:val="28"/>
          <w:szCs w:val="28"/>
        </w:rPr>
        <w:t>、中小企业声明函(</w:t>
      </w:r>
      <w:r>
        <w:rPr>
          <w:rFonts w:hint="eastAsia" w:ascii="仿宋" w:hAnsi="仿宋" w:eastAsia="仿宋" w:cs="仿宋"/>
          <w:b/>
          <w:bCs w:val="0"/>
          <w:color w:val="auto"/>
          <w:kern w:val="0"/>
          <w:sz w:val="28"/>
          <w:szCs w:val="28"/>
          <w:lang w:eastAsia="zh-CN"/>
        </w:rPr>
        <w:t>货物</w:t>
      </w:r>
      <w:r>
        <w:rPr>
          <w:rFonts w:hint="eastAsia" w:ascii="仿宋" w:hAnsi="仿宋" w:eastAsia="仿宋" w:cs="仿宋"/>
          <w:b/>
          <w:bCs w:val="0"/>
          <w:color w:val="auto"/>
          <w:kern w:val="0"/>
          <w:sz w:val="28"/>
          <w:szCs w:val="28"/>
        </w:rPr>
        <w:t>)</w:t>
      </w:r>
    </w:p>
    <w:p w14:paraId="56F3F8A6">
      <w:pPr>
        <w:spacing w:line="500" w:lineRule="exact"/>
        <w:ind w:firstLine="840" w:firstLineChars="300"/>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 xml:space="preserve">本公司（联合体）郑重声明，根据《政府采购促进中小企业发展管理办法》（财库[2020]46号）的规定，本公司（联合体）参加（单位名称）的（项目名称）采购活动，提供的货物全部由符合政策要求的中小企业制造。相关企业 （含联合体中的中小企业、签订分包意向协议的中小企业） 的具体情况如下： </w:t>
      </w:r>
    </w:p>
    <w:p w14:paraId="5C34C148">
      <w:pPr>
        <w:spacing w:line="500" w:lineRule="exact"/>
        <w:jc w:val="left"/>
        <w:rPr>
          <w:rFonts w:hint="eastAsia" w:ascii="仿宋" w:hAnsi="仿宋" w:eastAsia="仿宋" w:cs="仿宋"/>
          <w:color w:val="auto"/>
          <w:kern w:val="2"/>
          <w:sz w:val="28"/>
          <w:szCs w:val="28"/>
          <w:u w:val="single" w:color="auto"/>
          <w:lang w:val="en-US" w:eastAsia="zh-CN" w:bidi="ar-SA"/>
        </w:rPr>
      </w:pPr>
      <w:r>
        <w:rPr>
          <w:rFonts w:hint="eastAsia" w:ascii="仿宋" w:hAnsi="仿宋" w:eastAsia="仿宋" w:cs="仿宋"/>
          <w:color w:val="auto"/>
          <w:kern w:val="2"/>
          <w:sz w:val="28"/>
          <w:szCs w:val="28"/>
          <w:u w:val="none" w:color="000000"/>
          <w:lang w:val="en-US" w:eastAsia="zh-CN" w:bidi="ar-SA"/>
        </w:rPr>
        <w:t xml:space="preserve">1. </w:t>
      </w:r>
      <w:r>
        <w:rPr>
          <w:rFonts w:hint="eastAsia" w:ascii="仿宋" w:hAnsi="仿宋" w:eastAsia="仿宋" w:cs="仿宋"/>
          <w:color w:val="auto"/>
          <w:kern w:val="2"/>
          <w:sz w:val="28"/>
          <w:szCs w:val="28"/>
          <w:u w:val="single" w:color="auto"/>
          <w:lang w:val="en-US" w:eastAsia="zh-CN" w:bidi="ar-SA"/>
        </w:rPr>
        <w:t>（标的名称）</w:t>
      </w:r>
      <w:r>
        <w:rPr>
          <w:rFonts w:hint="eastAsia" w:ascii="仿宋" w:hAnsi="仿宋" w:eastAsia="仿宋" w:cs="仿宋"/>
          <w:color w:val="auto"/>
          <w:kern w:val="2"/>
          <w:sz w:val="28"/>
          <w:szCs w:val="28"/>
          <w:u w:val="none" w:color="000000"/>
          <w:lang w:val="en-US" w:eastAsia="zh-CN" w:bidi="ar-SA"/>
        </w:rPr>
        <w:t xml:space="preserve"> ，属于</w:t>
      </w:r>
      <w:r>
        <w:rPr>
          <w:rFonts w:hint="eastAsia" w:ascii="仿宋" w:hAnsi="仿宋" w:eastAsia="仿宋" w:cs="仿宋"/>
          <w:color w:val="auto"/>
          <w:kern w:val="2"/>
          <w:sz w:val="28"/>
          <w:szCs w:val="28"/>
          <w:u w:val="single" w:color="auto"/>
          <w:lang w:val="en-US" w:eastAsia="zh-CN" w:bidi="ar-SA"/>
        </w:rPr>
        <w:t>（采购文件中明确的所属行业）</w:t>
      </w:r>
      <w:r>
        <w:rPr>
          <w:rFonts w:hint="eastAsia" w:ascii="仿宋" w:hAnsi="仿宋" w:eastAsia="仿宋" w:cs="仿宋"/>
          <w:color w:val="auto"/>
          <w:kern w:val="2"/>
          <w:sz w:val="28"/>
          <w:szCs w:val="28"/>
          <w:u w:val="none" w:color="000000"/>
          <w:lang w:val="en-US" w:eastAsia="zh-CN" w:bidi="ar-SA"/>
        </w:rPr>
        <w:t xml:space="preserve"> 行业；制造商为</w:t>
      </w:r>
      <w:r>
        <w:rPr>
          <w:rFonts w:hint="eastAsia" w:ascii="仿宋" w:hAnsi="仿宋" w:eastAsia="仿宋" w:cs="仿宋"/>
          <w:color w:val="auto"/>
          <w:kern w:val="2"/>
          <w:sz w:val="28"/>
          <w:szCs w:val="28"/>
          <w:u w:val="single" w:color="auto"/>
          <w:lang w:val="en-US" w:eastAsia="zh-CN" w:bidi="ar-SA"/>
        </w:rPr>
        <w:t>（企业名称）</w:t>
      </w:r>
      <w:r>
        <w:rPr>
          <w:rFonts w:hint="eastAsia" w:ascii="仿宋" w:hAnsi="仿宋" w:eastAsia="仿宋" w:cs="仿宋"/>
          <w:color w:val="auto"/>
          <w:kern w:val="2"/>
          <w:sz w:val="28"/>
          <w:szCs w:val="28"/>
          <w:u w:val="none" w:color="000000"/>
          <w:lang w:val="en-US" w:eastAsia="zh-CN" w:bidi="ar-SA"/>
        </w:rPr>
        <w:t>，从业人员</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人，营业收 入为</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 xml:space="preserve"> 万元，资产总额为</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万元，属于</w:t>
      </w:r>
      <w:r>
        <w:rPr>
          <w:rFonts w:hint="eastAsia" w:ascii="仿宋" w:hAnsi="仿宋" w:eastAsia="仿宋" w:cs="仿宋"/>
          <w:color w:val="auto"/>
          <w:kern w:val="2"/>
          <w:sz w:val="28"/>
          <w:szCs w:val="28"/>
          <w:u w:val="single" w:color="auto"/>
          <w:lang w:val="en-US" w:eastAsia="zh-CN" w:bidi="ar-SA"/>
        </w:rPr>
        <w:t xml:space="preserve">（中型企业、小 型企业、微型企业）； </w:t>
      </w:r>
    </w:p>
    <w:p w14:paraId="209AAD79">
      <w:pPr>
        <w:spacing w:line="500" w:lineRule="exact"/>
        <w:jc w:val="left"/>
        <w:rPr>
          <w:rFonts w:hint="eastAsia" w:ascii="仿宋" w:hAnsi="仿宋" w:eastAsia="仿宋" w:cs="仿宋"/>
          <w:color w:val="auto"/>
          <w:kern w:val="2"/>
          <w:sz w:val="28"/>
          <w:szCs w:val="28"/>
          <w:u w:val="single" w:color="auto"/>
          <w:lang w:val="en-US" w:eastAsia="zh-CN" w:bidi="ar-SA"/>
        </w:rPr>
      </w:pPr>
      <w:r>
        <w:rPr>
          <w:rFonts w:hint="eastAsia" w:ascii="仿宋" w:hAnsi="仿宋" w:eastAsia="仿宋" w:cs="仿宋"/>
          <w:color w:val="auto"/>
          <w:kern w:val="2"/>
          <w:sz w:val="28"/>
          <w:szCs w:val="28"/>
          <w:u w:val="none" w:color="000000"/>
          <w:lang w:val="en-US" w:eastAsia="zh-CN" w:bidi="ar-SA"/>
        </w:rPr>
        <w:t xml:space="preserve">2. </w:t>
      </w:r>
      <w:r>
        <w:rPr>
          <w:rFonts w:hint="eastAsia" w:ascii="仿宋" w:hAnsi="仿宋" w:eastAsia="仿宋" w:cs="仿宋"/>
          <w:color w:val="auto"/>
          <w:kern w:val="2"/>
          <w:sz w:val="28"/>
          <w:szCs w:val="28"/>
          <w:u w:val="single" w:color="auto"/>
          <w:lang w:val="en-US" w:eastAsia="zh-CN" w:bidi="ar-SA"/>
        </w:rPr>
        <w:t>（标的名称）</w:t>
      </w:r>
      <w:r>
        <w:rPr>
          <w:rFonts w:hint="eastAsia" w:ascii="仿宋" w:hAnsi="仿宋" w:eastAsia="仿宋" w:cs="仿宋"/>
          <w:color w:val="auto"/>
          <w:kern w:val="2"/>
          <w:sz w:val="28"/>
          <w:szCs w:val="28"/>
          <w:u w:val="none" w:color="000000"/>
          <w:lang w:val="en-US" w:eastAsia="zh-CN" w:bidi="ar-SA"/>
        </w:rPr>
        <w:t xml:space="preserve"> ，属于</w:t>
      </w:r>
      <w:r>
        <w:rPr>
          <w:rFonts w:hint="eastAsia" w:ascii="仿宋" w:hAnsi="仿宋" w:eastAsia="仿宋" w:cs="仿宋"/>
          <w:color w:val="auto"/>
          <w:kern w:val="2"/>
          <w:sz w:val="28"/>
          <w:szCs w:val="28"/>
          <w:u w:val="single" w:color="auto"/>
          <w:lang w:val="en-US" w:eastAsia="zh-CN" w:bidi="ar-SA"/>
        </w:rPr>
        <w:t>（采购文件中明确的所属行业）</w:t>
      </w:r>
      <w:r>
        <w:rPr>
          <w:rFonts w:hint="eastAsia" w:ascii="仿宋" w:hAnsi="仿宋" w:eastAsia="仿宋" w:cs="仿宋"/>
          <w:color w:val="auto"/>
          <w:kern w:val="2"/>
          <w:sz w:val="28"/>
          <w:szCs w:val="28"/>
          <w:u w:val="none" w:color="000000"/>
          <w:lang w:val="en-US" w:eastAsia="zh-CN" w:bidi="ar-SA"/>
        </w:rPr>
        <w:t>行业；制造商为</w:t>
      </w:r>
      <w:r>
        <w:rPr>
          <w:rFonts w:hint="eastAsia" w:ascii="仿宋" w:hAnsi="仿宋" w:eastAsia="仿宋" w:cs="仿宋"/>
          <w:color w:val="auto"/>
          <w:kern w:val="2"/>
          <w:sz w:val="28"/>
          <w:szCs w:val="28"/>
          <w:u w:val="single" w:color="auto"/>
          <w:lang w:val="en-US" w:eastAsia="zh-CN" w:bidi="ar-SA"/>
        </w:rPr>
        <w:t>（企业名称）</w:t>
      </w:r>
      <w:r>
        <w:rPr>
          <w:rFonts w:hint="eastAsia" w:ascii="仿宋" w:hAnsi="仿宋" w:eastAsia="仿宋" w:cs="仿宋"/>
          <w:color w:val="auto"/>
          <w:kern w:val="2"/>
          <w:sz w:val="28"/>
          <w:szCs w:val="28"/>
          <w:u w:val="none" w:color="000000"/>
          <w:lang w:val="en-US" w:eastAsia="zh-CN" w:bidi="ar-SA"/>
        </w:rPr>
        <w:t xml:space="preserve">，从业人员 </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人，营业收入为</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万元，资产总额为员</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万元，属于</w:t>
      </w:r>
      <w:r>
        <w:rPr>
          <w:rFonts w:hint="eastAsia" w:ascii="仿宋" w:hAnsi="仿宋" w:eastAsia="仿宋" w:cs="仿宋"/>
          <w:color w:val="auto"/>
          <w:kern w:val="2"/>
          <w:sz w:val="28"/>
          <w:szCs w:val="28"/>
          <w:u w:val="single" w:color="auto"/>
          <w:lang w:val="en-US" w:eastAsia="zh-CN" w:bidi="ar-SA"/>
        </w:rPr>
        <w:t xml:space="preserve">（中型企业、小型 企业、微型企业）； </w:t>
      </w:r>
    </w:p>
    <w:p w14:paraId="4D5F239C">
      <w:pPr>
        <w:spacing w:line="500" w:lineRule="exact"/>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w:t>
      </w:r>
    </w:p>
    <w:p w14:paraId="27B22108">
      <w:pPr>
        <w:spacing w:line="500" w:lineRule="exact"/>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以上企业，不属于大企业的分支机构，不存在控股股东为大企业的情形，也不存在与大企业的负责人为同一人的情形。</w:t>
      </w:r>
    </w:p>
    <w:p w14:paraId="290132FD">
      <w:pPr>
        <w:spacing w:line="500" w:lineRule="exact"/>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 xml:space="preserve">本企业对上述声明内容的真实性负责。如有虚假，将依 </w:t>
      </w:r>
    </w:p>
    <w:p w14:paraId="5687EB11">
      <w:pPr>
        <w:spacing w:line="500" w:lineRule="exact"/>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 xml:space="preserve">法承担相应责任。 </w:t>
      </w:r>
    </w:p>
    <w:p w14:paraId="1900BFE5">
      <w:pPr>
        <w:spacing w:line="500" w:lineRule="exact"/>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 xml:space="preserve">企业名称（盖章）：      </w:t>
      </w:r>
    </w:p>
    <w:p w14:paraId="4EC12A01">
      <w:pPr>
        <w:spacing w:line="500" w:lineRule="exact"/>
        <w:jc w:val="left"/>
        <w:rPr>
          <w:rFonts w:hint="eastAsia" w:ascii="仿宋" w:hAnsi="仿宋" w:eastAsia="仿宋" w:cs="仿宋"/>
          <w:color w:val="auto"/>
          <w:sz w:val="28"/>
          <w:szCs w:val="28"/>
        </w:rPr>
      </w:pPr>
      <w:r>
        <w:rPr>
          <w:rFonts w:hint="eastAsia" w:ascii="仿宋" w:hAnsi="仿宋" w:eastAsia="仿宋" w:cs="仿宋"/>
          <w:color w:val="auto"/>
          <w:kern w:val="2"/>
          <w:sz w:val="28"/>
          <w:szCs w:val="28"/>
          <w:u w:val="none" w:color="000000"/>
          <w:lang w:val="en-US" w:eastAsia="zh-CN" w:bidi="ar-SA"/>
        </w:rPr>
        <w:t xml:space="preserve">日 期：     </w:t>
      </w:r>
      <w:r>
        <w:rPr>
          <w:rFonts w:hint="eastAsia" w:ascii="仿宋" w:hAnsi="仿宋" w:eastAsia="仿宋" w:cs="仿宋"/>
          <w:color w:val="auto"/>
          <w:kern w:val="0"/>
          <w:sz w:val="28"/>
          <w:szCs w:val="28"/>
        </w:rPr>
        <w:t xml:space="preserve">        </w:t>
      </w:r>
    </w:p>
    <w:p w14:paraId="20B6A395">
      <w:pPr>
        <w:widowControl/>
        <w:spacing w:line="500" w:lineRule="atLeast"/>
        <w:jc w:val="both"/>
        <w:rPr>
          <w:rFonts w:hint="eastAsia" w:ascii="仿宋" w:hAnsi="仿宋" w:eastAsia="仿宋" w:cs="仿宋"/>
          <w:b/>
          <w:color w:val="auto"/>
          <w:kern w:val="0"/>
          <w:sz w:val="28"/>
          <w:szCs w:val="28"/>
          <w:lang w:val="en-US" w:eastAsia="zh-CN" w:bidi="ar-SA"/>
        </w:rPr>
      </w:pPr>
    </w:p>
    <w:p w14:paraId="7F24BC00">
      <w:pPr>
        <w:widowControl/>
        <w:spacing w:line="500" w:lineRule="atLeast"/>
        <w:jc w:val="both"/>
        <w:rPr>
          <w:rFonts w:hint="eastAsia" w:ascii="仿宋" w:hAnsi="仿宋" w:eastAsia="仿宋" w:cs="仿宋"/>
          <w:b/>
          <w:color w:val="auto"/>
          <w:kern w:val="0"/>
          <w:sz w:val="28"/>
          <w:szCs w:val="28"/>
          <w:lang w:val="en-US" w:eastAsia="zh-CN" w:bidi="ar-SA"/>
        </w:rPr>
      </w:pPr>
    </w:p>
    <w:p w14:paraId="2CB874D3">
      <w:pPr>
        <w:widowControl/>
        <w:spacing w:line="500" w:lineRule="atLeast"/>
        <w:jc w:val="both"/>
        <w:rPr>
          <w:rFonts w:hint="eastAsia" w:ascii="仿宋" w:hAnsi="仿宋" w:eastAsia="仿宋" w:cs="仿宋"/>
          <w:b/>
          <w:color w:val="auto"/>
          <w:kern w:val="0"/>
          <w:sz w:val="28"/>
          <w:szCs w:val="28"/>
          <w:lang w:val="en-US" w:eastAsia="zh-CN" w:bidi="ar-SA"/>
        </w:rPr>
      </w:pPr>
    </w:p>
    <w:p w14:paraId="184D2A9E">
      <w:pPr>
        <w:rPr>
          <w:rFonts w:hint="eastAsia" w:ascii="仿宋" w:hAnsi="仿宋" w:eastAsia="仿宋" w:cs="仿宋"/>
          <w:color w:val="auto"/>
          <w:sz w:val="28"/>
          <w:szCs w:val="28"/>
        </w:rPr>
      </w:pPr>
    </w:p>
    <w:p w14:paraId="7F792273">
      <w:pPr>
        <w:tabs>
          <w:tab w:val="left" w:pos="3600"/>
        </w:tabs>
        <w:adjustRightInd w:val="0"/>
        <w:snapToGrid w:val="0"/>
        <w:spacing w:line="440" w:lineRule="exact"/>
        <w:jc w:val="center"/>
        <w:rPr>
          <w:rFonts w:hint="eastAsia" w:ascii="仿宋" w:hAnsi="仿宋" w:eastAsia="仿宋" w:cs="仿宋"/>
          <w:color w:val="auto"/>
          <w:spacing w:val="0"/>
          <w:w w:val="100"/>
          <w:position w:val="0"/>
          <w:sz w:val="28"/>
          <w:szCs w:val="28"/>
          <w:lang w:val="en-US" w:eastAsia="zh-CN"/>
        </w:rPr>
      </w:pPr>
    </w:p>
    <w:p w14:paraId="273EA367">
      <w:pPr>
        <w:tabs>
          <w:tab w:val="left" w:pos="3600"/>
        </w:tabs>
        <w:adjustRightInd w:val="0"/>
        <w:snapToGrid w:val="0"/>
        <w:spacing w:line="440" w:lineRule="exact"/>
        <w:jc w:val="center"/>
        <w:rPr>
          <w:rFonts w:hint="eastAsia" w:ascii="仿宋" w:hAnsi="仿宋" w:eastAsia="仿宋" w:cs="仿宋"/>
          <w:color w:val="auto"/>
          <w:spacing w:val="0"/>
          <w:w w:val="100"/>
          <w:position w:val="0"/>
          <w:sz w:val="28"/>
          <w:szCs w:val="28"/>
          <w:lang w:val="en-US" w:eastAsia="zh-CN"/>
        </w:rPr>
      </w:pPr>
    </w:p>
    <w:p w14:paraId="70368312">
      <w:pPr>
        <w:pStyle w:val="13"/>
        <w:rPr>
          <w:rFonts w:hint="eastAsia" w:ascii="仿宋" w:hAnsi="仿宋" w:eastAsia="仿宋" w:cs="仿宋"/>
          <w:color w:val="auto"/>
          <w:spacing w:val="0"/>
          <w:w w:val="100"/>
          <w:position w:val="0"/>
          <w:sz w:val="28"/>
          <w:szCs w:val="28"/>
          <w:lang w:val="en-US" w:eastAsia="zh-CN"/>
        </w:rPr>
      </w:pPr>
    </w:p>
    <w:p w14:paraId="660746E5">
      <w:pPr>
        <w:pStyle w:val="13"/>
        <w:rPr>
          <w:rFonts w:hint="eastAsia" w:ascii="仿宋" w:hAnsi="仿宋" w:eastAsia="仿宋" w:cs="仿宋"/>
          <w:color w:val="auto"/>
          <w:spacing w:val="0"/>
          <w:w w:val="100"/>
          <w:position w:val="0"/>
          <w:sz w:val="28"/>
          <w:szCs w:val="28"/>
          <w:lang w:val="en-US" w:eastAsia="zh-CN"/>
        </w:rPr>
      </w:pPr>
    </w:p>
    <w:p w14:paraId="5747FF4D">
      <w:pPr>
        <w:tabs>
          <w:tab w:val="left" w:pos="3600"/>
        </w:tabs>
        <w:adjustRightInd w:val="0"/>
        <w:snapToGrid w:val="0"/>
        <w:spacing w:line="440" w:lineRule="exact"/>
        <w:jc w:val="center"/>
        <w:rPr>
          <w:rFonts w:hint="eastAsia" w:ascii="仿宋" w:hAnsi="仿宋" w:eastAsia="仿宋" w:cs="仿宋"/>
          <w:b/>
          <w:bCs/>
          <w:color w:val="auto"/>
          <w:spacing w:val="6"/>
          <w:kern w:val="0"/>
          <w:sz w:val="28"/>
          <w:szCs w:val="28"/>
        </w:rPr>
      </w:pPr>
      <w:r>
        <w:rPr>
          <w:rFonts w:hint="eastAsia" w:ascii="仿宋" w:hAnsi="仿宋" w:eastAsia="仿宋" w:cs="仿宋"/>
          <w:color w:val="auto"/>
          <w:spacing w:val="0"/>
          <w:w w:val="100"/>
          <w:position w:val="0"/>
          <w:sz w:val="28"/>
          <w:szCs w:val="28"/>
          <w:lang w:val="en-US" w:eastAsia="zh-CN"/>
        </w:rPr>
        <w:t>9</w:t>
      </w:r>
      <w:r>
        <w:rPr>
          <w:rFonts w:hint="eastAsia" w:ascii="仿宋" w:hAnsi="仿宋" w:eastAsia="仿宋" w:cs="仿宋"/>
          <w:color w:val="auto"/>
          <w:spacing w:val="0"/>
          <w:w w:val="100"/>
          <w:position w:val="0"/>
          <w:sz w:val="28"/>
          <w:szCs w:val="28"/>
          <w:lang w:eastAsia="zh-CN"/>
        </w:rPr>
        <w:t>、</w:t>
      </w:r>
      <w:r>
        <w:rPr>
          <w:rFonts w:hint="eastAsia" w:ascii="仿宋" w:hAnsi="仿宋" w:eastAsia="仿宋" w:cs="仿宋"/>
          <w:b/>
          <w:bCs/>
          <w:color w:val="auto"/>
          <w:spacing w:val="6"/>
          <w:kern w:val="0"/>
          <w:sz w:val="28"/>
          <w:szCs w:val="28"/>
        </w:rPr>
        <w:t>残疾人福利性单位声明函</w:t>
      </w:r>
    </w:p>
    <w:p w14:paraId="422112C6">
      <w:pPr>
        <w:widowControl/>
        <w:adjustRightInd w:val="0"/>
        <w:snapToGrid w:val="0"/>
        <w:spacing w:line="440" w:lineRule="exact"/>
        <w:ind w:firstLine="584" w:firstLineChars="200"/>
        <w:jc w:val="left"/>
        <w:rPr>
          <w:rFonts w:hint="eastAsia" w:ascii="仿宋" w:hAnsi="仿宋" w:eastAsia="仿宋" w:cs="仿宋"/>
          <w:color w:val="auto"/>
          <w:spacing w:val="6"/>
          <w:kern w:val="0"/>
          <w:sz w:val="28"/>
          <w:szCs w:val="28"/>
        </w:rPr>
      </w:pPr>
    </w:p>
    <w:p w14:paraId="3BD56535">
      <w:pPr>
        <w:widowControl/>
        <w:adjustRightInd w:val="0"/>
        <w:snapToGrid w:val="0"/>
        <w:spacing w:line="440" w:lineRule="exact"/>
        <w:ind w:firstLine="584" w:firstLineChars="200"/>
        <w:jc w:val="left"/>
        <w:rPr>
          <w:rFonts w:hint="eastAsia" w:ascii="仿宋" w:hAnsi="仿宋" w:eastAsia="仿宋" w:cs="仿宋"/>
          <w:color w:val="auto"/>
          <w:spacing w:val="6"/>
          <w:kern w:val="0"/>
          <w:sz w:val="28"/>
          <w:szCs w:val="28"/>
        </w:rPr>
      </w:pPr>
      <w:r>
        <w:rPr>
          <w:rFonts w:hint="eastAsia" w:ascii="仿宋" w:hAnsi="仿宋" w:eastAsia="仿宋" w:cs="仿宋"/>
          <w:color w:val="auto"/>
          <w:spacing w:val="6"/>
          <w:kern w:val="0"/>
          <w:sz w:val="28"/>
          <w:szCs w:val="28"/>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C3E97BD">
      <w:pPr>
        <w:widowControl/>
        <w:adjustRightInd w:val="0"/>
        <w:snapToGrid w:val="0"/>
        <w:spacing w:line="440" w:lineRule="exact"/>
        <w:ind w:firstLine="584" w:firstLineChars="200"/>
        <w:jc w:val="left"/>
        <w:rPr>
          <w:rFonts w:hint="eastAsia" w:ascii="仿宋" w:hAnsi="仿宋" w:eastAsia="仿宋" w:cs="仿宋"/>
          <w:color w:val="auto"/>
          <w:spacing w:val="6"/>
          <w:kern w:val="0"/>
          <w:sz w:val="28"/>
          <w:szCs w:val="28"/>
        </w:rPr>
      </w:pPr>
      <w:r>
        <w:rPr>
          <w:rFonts w:hint="eastAsia" w:ascii="仿宋" w:hAnsi="仿宋" w:eastAsia="仿宋" w:cs="仿宋"/>
          <w:color w:val="auto"/>
          <w:spacing w:val="6"/>
          <w:kern w:val="0"/>
          <w:sz w:val="28"/>
          <w:szCs w:val="28"/>
        </w:rPr>
        <w:t>本单位对上述声明的真实性负责。如有虚假，将依法承担相应责任。</w:t>
      </w:r>
    </w:p>
    <w:p w14:paraId="30500EC3">
      <w:pPr>
        <w:widowControl/>
        <w:adjustRightInd w:val="0"/>
        <w:snapToGrid w:val="0"/>
        <w:spacing w:line="440" w:lineRule="exact"/>
        <w:ind w:firstLine="584" w:firstLineChars="200"/>
        <w:jc w:val="left"/>
        <w:rPr>
          <w:rFonts w:hint="eastAsia" w:ascii="仿宋" w:hAnsi="仿宋" w:eastAsia="仿宋" w:cs="仿宋"/>
          <w:color w:val="auto"/>
          <w:spacing w:val="6"/>
          <w:kern w:val="0"/>
          <w:sz w:val="28"/>
          <w:szCs w:val="28"/>
        </w:rPr>
      </w:pPr>
      <w:r>
        <w:rPr>
          <w:rFonts w:hint="eastAsia" w:ascii="仿宋" w:hAnsi="仿宋" w:eastAsia="仿宋" w:cs="仿宋"/>
          <w:color w:val="auto"/>
          <w:spacing w:val="6"/>
          <w:kern w:val="0"/>
          <w:sz w:val="28"/>
          <w:szCs w:val="28"/>
        </w:rPr>
        <w:t xml:space="preserve">                                     </w:t>
      </w:r>
    </w:p>
    <w:p w14:paraId="5C819A06">
      <w:pPr>
        <w:widowControl/>
        <w:adjustRightInd w:val="0"/>
        <w:snapToGrid w:val="0"/>
        <w:spacing w:line="440" w:lineRule="exact"/>
        <w:jc w:val="left"/>
        <w:rPr>
          <w:rFonts w:hint="eastAsia" w:ascii="仿宋" w:hAnsi="仿宋" w:eastAsia="仿宋" w:cs="仿宋"/>
          <w:color w:val="auto"/>
          <w:spacing w:val="6"/>
          <w:kern w:val="0"/>
          <w:sz w:val="28"/>
          <w:szCs w:val="28"/>
        </w:rPr>
      </w:pPr>
      <w:r>
        <w:rPr>
          <w:rFonts w:hint="eastAsia" w:ascii="仿宋" w:hAnsi="仿宋" w:eastAsia="仿宋" w:cs="仿宋"/>
          <w:color w:val="auto"/>
          <w:spacing w:val="6"/>
          <w:kern w:val="0"/>
          <w:sz w:val="28"/>
          <w:szCs w:val="28"/>
        </w:rPr>
        <w:t>单位名称（盖章）：</w:t>
      </w:r>
    </w:p>
    <w:p w14:paraId="76096F6F">
      <w:pPr>
        <w:widowControl/>
        <w:adjustRightInd w:val="0"/>
        <w:snapToGrid w:val="0"/>
        <w:spacing w:line="440" w:lineRule="exact"/>
        <w:jc w:val="left"/>
        <w:rPr>
          <w:rFonts w:hint="eastAsia" w:ascii="仿宋" w:hAnsi="仿宋" w:eastAsia="仿宋" w:cs="仿宋"/>
          <w:color w:val="auto"/>
          <w:spacing w:val="6"/>
          <w:kern w:val="0"/>
          <w:sz w:val="28"/>
          <w:szCs w:val="28"/>
        </w:rPr>
      </w:pPr>
      <w:r>
        <w:rPr>
          <w:rFonts w:hint="eastAsia" w:ascii="仿宋" w:hAnsi="仿宋" w:eastAsia="仿宋" w:cs="仿宋"/>
          <w:color w:val="auto"/>
          <w:spacing w:val="6"/>
          <w:kern w:val="0"/>
          <w:sz w:val="28"/>
          <w:szCs w:val="28"/>
        </w:rPr>
        <w:t>日  期：</w:t>
      </w:r>
    </w:p>
    <w:p w14:paraId="7E889D9C">
      <w:pPr>
        <w:pStyle w:val="4"/>
        <w:numPr>
          <w:ilvl w:val="1"/>
          <w:numId w:val="0"/>
        </w:numPr>
        <w:shd w:val="clear" w:color="auto" w:fill="auto"/>
        <w:spacing w:before="0" w:line="240" w:lineRule="atLeast"/>
        <w:jc w:val="left"/>
        <w:rPr>
          <w:rFonts w:hint="eastAsia" w:ascii="仿宋" w:hAnsi="仿宋" w:eastAsia="仿宋" w:cs="仿宋"/>
          <w:b/>
          <w:bCs/>
          <w:color w:val="auto"/>
          <w:sz w:val="28"/>
          <w:szCs w:val="28"/>
          <w:highlight w:val="none"/>
          <w:lang w:val="en-US" w:eastAsia="zh-CN"/>
        </w:rPr>
      </w:pPr>
    </w:p>
    <w:p w14:paraId="4F0EAB18">
      <w:pPr>
        <w:pStyle w:val="4"/>
        <w:numPr>
          <w:ilvl w:val="1"/>
          <w:numId w:val="0"/>
        </w:numPr>
        <w:shd w:val="clear" w:color="auto" w:fill="auto"/>
        <w:spacing w:before="0" w:line="240" w:lineRule="atLeast"/>
        <w:jc w:val="left"/>
        <w:rPr>
          <w:rFonts w:hint="eastAsia" w:ascii="仿宋" w:hAnsi="仿宋" w:eastAsia="仿宋" w:cs="仿宋"/>
          <w:b/>
          <w:bCs/>
          <w:color w:val="auto"/>
          <w:sz w:val="28"/>
          <w:szCs w:val="28"/>
          <w:highlight w:val="none"/>
          <w:lang w:val="en-US" w:eastAsia="zh-CN"/>
        </w:rPr>
      </w:pPr>
    </w:p>
    <w:p w14:paraId="7B58CF59">
      <w:pPr>
        <w:pStyle w:val="4"/>
        <w:numPr>
          <w:ilvl w:val="1"/>
          <w:numId w:val="0"/>
        </w:numPr>
        <w:shd w:val="clear" w:color="auto" w:fill="auto"/>
        <w:spacing w:before="0" w:line="240" w:lineRule="atLeast"/>
        <w:jc w:val="left"/>
        <w:rPr>
          <w:rFonts w:hint="eastAsia" w:ascii="仿宋" w:hAnsi="仿宋" w:eastAsia="仿宋" w:cs="仿宋"/>
          <w:b/>
          <w:bCs/>
          <w:color w:val="auto"/>
          <w:sz w:val="28"/>
          <w:szCs w:val="28"/>
          <w:highlight w:val="none"/>
          <w:lang w:val="en-US" w:eastAsia="zh-CN"/>
        </w:rPr>
      </w:pPr>
    </w:p>
    <w:p w14:paraId="669C3449">
      <w:pPr>
        <w:rPr>
          <w:rFonts w:hint="eastAsia" w:ascii="仿宋" w:hAnsi="仿宋" w:eastAsia="仿宋" w:cs="仿宋"/>
          <w:b/>
          <w:bCs/>
          <w:color w:val="auto"/>
          <w:sz w:val="28"/>
          <w:szCs w:val="28"/>
          <w:highlight w:val="none"/>
          <w:lang w:val="en-US" w:eastAsia="zh-CN"/>
        </w:rPr>
      </w:pPr>
    </w:p>
    <w:p w14:paraId="7477AC0E">
      <w:pPr>
        <w:pStyle w:val="24"/>
        <w:rPr>
          <w:rFonts w:hint="eastAsia" w:ascii="仿宋" w:hAnsi="仿宋" w:eastAsia="仿宋" w:cs="仿宋"/>
          <w:b/>
          <w:bCs/>
          <w:color w:val="auto"/>
          <w:sz w:val="28"/>
          <w:szCs w:val="28"/>
          <w:highlight w:val="none"/>
          <w:lang w:val="en-US" w:eastAsia="zh-CN"/>
        </w:rPr>
      </w:pPr>
    </w:p>
    <w:p w14:paraId="584382A4">
      <w:pPr>
        <w:pStyle w:val="26"/>
        <w:keepNext/>
        <w:keepLines/>
        <w:spacing w:before="0" w:after="660"/>
        <w:ind w:firstLine="420"/>
        <w:rPr>
          <w:rFonts w:hint="eastAsia" w:ascii="仿宋" w:hAnsi="仿宋" w:eastAsia="仿宋" w:cs="仿宋"/>
          <w:color w:val="auto"/>
          <w:sz w:val="28"/>
          <w:szCs w:val="28"/>
          <w:lang w:eastAsia="zh-CN"/>
        </w:rPr>
      </w:pPr>
    </w:p>
    <w:p w14:paraId="276EEEC2">
      <w:pPr>
        <w:shd w:val="clear" w:color="auto" w:fill="auto"/>
        <w:tabs>
          <w:tab w:val="left" w:pos="3600"/>
        </w:tabs>
        <w:adjustRightInd w:val="0"/>
        <w:snapToGrid w:val="0"/>
        <w:spacing w:line="440" w:lineRule="exact"/>
        <w:jc w:val="center"/>
        <w:rPr>
          <w:rFonts w:hint="eastAsia" w:ascii="仿宋" w:hAnsi="仿宋" w:eastAsia="仿宋" w:cs="仿宋"/>
          <w:b/>
          <w:bCs/>
          <w:color w:val="auto"/>
          <w:spacing w:val="0"/>
          <w:w w:val="100"/>
          <w:position w:val="0"/>
          <w:sz w:val="28"/>
          <w:szCs w:val="28"/>
          <w:lang w:val="en-US" w:eastAsia="zh-CN"/>
        </w:rPr>
      </w:pPr>
    </w:p>
    <w:p w14:paraId="14ABB9EC">
      <w:pPr>
        <w:shd w:val="clear" w:color="auto" w:fill="auto"/>
        <w:tabs>
          <w:tab w:val="left" w:pos="3600"/>
        </w:tabs>
        <w:adjustRightInd w:val="0"/>
        <w:snapToGrid w:val="0"/>
        <w:spacing w:line="440" w:lineRule="exact"/>
        <w:jc w:val="center"/>
        <w:rPr>
          <w:rFonts w:hint="eastAsia" w:ascii="仿宋" w:hAnsi="仿宋" w:eastAsia="仿宋" w:cs="仿宋"/>
          <w:b/>
          <w:bCs/>
          <w:color w:val="auto"/>
          <w:spacing w:val="0"/>
          <w:w w:val="100"/>
          <w:position w:val="0"/>
          <w:sz w:val="28"/>
          <w:szCs w:val="28"/>
          <w:lang w:val="en-US" w:eastAsia="zh-CN"/>
        </w:rPr>
      </w:pPr>
    </w:p>
    <w:p w14:paraId="22751977">
      <w:pPr>
        <w:shd w:val="clear" w:color="auto" w:fill="auto"/>
        <w:tabs>
          <w:tab w:val="left" w:pos="3600"/>
        </w:tabs>
        <w:adjustRightInd w:val="0"/>
        <w:snapToGrid w:val="0"/>
        <w:spacing w:line="440" w:lineRule="exact"/>
        <w:jc w:val="center"/>
        <w:rPr>
          <w:rFonts w:hint="eastAsia" w:ascii="仿宋" w:hAnsi="仿宋" w:eastAsia="仿宋" w:cs="仿宋"/>
          <w:b/>
          <w:bCs/>
          <w:color w:val="auto"/>
          <w:spacing w:val="0"/>
          <w:w w:val="100"/>
          <w:position w:val="0"/>
          <w:sz w:val="28"/>
          <w:szCs w:val="28"/>
          <w:lang w:val="en-US" w:eastAsia="zh-CN"/>
        </w:rPr>
      </w:pPr>
    </w:p>
    <w:p w14:paraId="0B122BD0">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56688466">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505D676C">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6D4BAC20">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63763916">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0A602449">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786F15A2">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67EC848A">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3ED58577">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046DD5A0">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12DCA314">
      <w:pPr>
        <w:shd w:val="clear" w:color="auto" w:fill="auto"/>
        <w:tabs>
          <w:tab w:val="left" w:pos="3600"/>
        </w:tabs>
        <w:adjustRightInd w:val="0"/>
        <w:snapToGrid w:val="0"/>
        <w:spacing w:line="440" w:lineRule="exact"/>
        <w:jc w:val="center"/>
        <w:rPr>
          <w:rFonts w:hint="eastAsia" w:ascii="仿宋" w:hAnsi="仿宋" w:eastAsia="仿宋" w:cs="仿宋"/>
          <w:b/>
          <w:bCs/>
          <w:color w:val="auto"/>
          <w:spacing w:val="0"/>
          <w:w w:val="90"/>
          <w:position w:val="0"/>
          <w:sz w:val="28"/>
          <w:szCs w:val="28"/>
          <w:lang w:val="en-US" w:eastAsia="zh-CN"/>
        </w:rPr>
      </w:pPr>
      <w:r>
        <w:rPr>
          <w:rFonts w:hint="eastAsia" w:ascii="仿宋" w:hAnsi="仿宋" w:eastAsia="仿宋" w:cs="仿宋"/>
          <w:b/>
          <w:bCs/>
          <w:color w:val="auto"/>
          <w:spacing w:val="0"/>
          <w:w w:val="100"/>
          <w:position w:val="0"/>
          <w:sz w:val="28"/>
          <w:szCs w:val="28"/>
          <w:lang w:val="en-US" w:eastAsia="zh-CN"/>
        </w:rPr>
        <w:t>10、</w:t>
      </w:r>
      <w:r>
        <w:rPr>
          <w:rFonts w:hint="eastAsia" w:ascii="仿宋" w:hAnsi="仿宋" w:eastAsia="仿宋" w:cs="仿宋"/>
          <w:b/>
          <w:bCs/>
          <w:color w:val="auto"/>
          <w:spacing w:val="0"/>
          <w:w w:val="90"/>
          <w:position w:val="0"/>
          <w:sz w:val="28"/>
          <w:szCs w:val="28"/>
          <w:lang w:val="en-US" w:eastAsia="zh-CN"/>
        </w:rPr>
        <w:t>投标人认为有必要提供的其他证明材料</w:t>
      </w:r>
    </w:p>
    <w:p w14:paraId="726008A1">
      <w:pPr>
        <w:pStyle w:val="9"/>
        <w:shd w:val="clear" w:color="auto" w:fill="auto"/>
        <w:tabs>
          <w:tab w:val="left" w:pos="5580"/>
        </w:tabs>
        <w:spacing w:line="240" w:lineRule="atLeast"/>
        <w:ind w:firstLine="560" w:firstLineChars="200"/>
        <w:rPr>
          <w:rFonts w:hint="eastAsia" w:ascii="仿宋" w:hAnsi="仿宋" w:eastAsia="仿宋" w:cs="仿宋"/>
          <w:color w:val="auto"/>
          <w:sz w:val="28"/>
          <w:szCs w:val="28"/>
          <w:highlight w:val="none"/>
        </w:rPr>
      </w:pPr>
    </w:p>
    <w:p w14:paraId="388BE1A4">
      <w:pPr>
        <w:pStyle w:val="9"/>
        <w:shd w:val="clear" w:color="auto" w:fill="auto"/>
        <w:tabs>
          <w:tab w:val="left" w:pos="5580"/>
        </w:tabs>
        <w:spacing w:line="240" w:lineRule="atLeast"/>
        <w:ind w:firstLine="2240" w:firstLineChars="8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说明：复印件上应加盖本单位章。</w:t>
      </w:r>
    </w:p>
    <w:p w14:paraId="2F726AA5">
      <w:pPr>
        <w:pStyle w:val="10"/>
        <w:rPr>
          <w:rFonts w:hint="eastAsia" w:ascii="仿宋" w:hAnsi="仿宋" w:eastAsia="仿宋" w:cs="仿宋"/>
          <w:color w:val="auto"/>
          <w:sz w:val="28"/>
          <w:szCs w:val="28"/>
        </w:rPr>
      </w:pPr>
    </w:p>
    <w:p w14:paraId="5E8F97A9">
      <w:pPr>
        <w:pStyle w:val="26"/>
        <w:keepNext/>
        <w:keepLines/>
        <w:spacing w:before="0" w:after="660"/>
        <w:ind w:firstLine="420"/>
        <w:rPr>
          <w:rFonts w:hint="eastAsia" w:ascii="仿宋" w:hAnsi="仿宋" w:eastAsia="仿宋" w:cs="仿宋"/>
          <w:color w:val="auto"/>
          <w:sz w:val="28"/>
          <w:szCs w:val="28"/>
          <w:lang w:eastAsia="zh-CN"/>
        </w:rPr>
      </w:pPr>
    </w:p>
    <w:p w14:paraId="7B58CF75">
      <w:pPr>
        <w:pStyle w:val="26"/>
        <w:keepNext/>
        <w:keepLines/>
        <w:spacing w:before="0" w:after="660"/>
        <w:ind w:firstLine="420"/>
        <w:rPr>
          <w:rFonts w:hint="eastAsia" w:ascii="仿宋" w:hAnsi="仿宋" w:eastAsia="仿宋" w:cs="仿宋"/>
          <w:color w:val="auto"/>
          <w:sz w:val="28"/>
          <w:szCs w:val="28"/>
          <w:lang w:eastAsia="zh-CN"/>
        </w:rPr>
      </w:pPr>
    </w:p>
    <w:p w14:paraId="7C84152A">
      <w:pPr>
        <w:pStyle w:val="26"/>
        <w:keepNext/>
        <w:keepLines/>
        <w:spacing w:before="0" w:after="660"/>
        <w:ind w:firstLine="420"/>
        <w:rPr>
          <w:rFonts w:hint="eastAsia" w:ascii="仿宋" w:hAnsi="仿宋" w:eastAsia="仿宋" w:cs="仿宋"/>
          <w:color w:val="auto"/>
          <w:sz w:val="28"/>
          <w:szCs w:val="28"/>
          <w:lang w:eastAsia="zh-CN"/>
        </w:rPr>
      </w:pPr>
    </w:p>
    <w:bookmarkEnd w:id="80"/>
    <w:bookmarkEnd w:id="81"/>
    <w:bookmarkEnd w:id="82"/>
    <w:bookmarkEnd w:id="83"/>
    <w:bookmarkEnd w:id="84"/>
    <w:bookmarkEnd w:id="85"/>
    <w:bookmarkEnd w:id="86"/>
    <w:p w14:paraId="49BD81A9">
      <w:pPr>
        <w:pStyle w:val="28"/>
        <w:spacing w:after="240" w:line="240" w:lineRule="auto"/>
        <w:ind w:firstLine="0"/>
        <w:jc w:val="center"/>
        <w:rPr>
          <w:rFonts w:hint="eastAsia" w:ascii="仿宋" w:hAnsi="仿宋" w:eastAsia="仿宋" w:cs="仿宋"/>
          <w:b/>
          <w:bCs/>
          <w:color w:val="auto"/>
          <w:sz w:val="28"/>
          <w:szCs w:val="28"/>
          <w:lang w:eastAsia="zh-CN"/>
        </w:rPr>
      </w:pPr>
    </w:p>
    <w:p w14:paraId="289B45D7">
      <w:pPr>
        <w:pStyle w:val="28"/>
        <w:spacing w:after="240" w:line="240" w:lineRule="auto"/>
        <w:ind w:firstLine="0"/>
        <w:jc w:val="center"/>
        <w:rPr>
          <w:rFonts w:hint="eastAsia" w:ascii="仿宋" w:hAnsi="仿宋" w:eastAsia="仿宋" w:cs="仿宋"/>
          <w:b/>
          <w:bCs/>
          <w:color w:val="auto"/>
          <w:sz w:val="28"/>
          <w:szCs w:val="28"/>
          <w:lang w:eastAsia="zh-CN"/>
        </w:rPr>
      </w:pPr>
    </w:p>
    <w:p w14:paraId="57903857">
      <w:pPr>
        <w:pStyle w:val="28"/>
        <w:spacing w:after="240" w:line="240" w:lineRule="auto"/>
        <w:ind w:firstLine="0"/>
        <w:jc w:val="center"/>
        <w:rPr>
          <w:rFonts w:hint="eastAsia" w:ascii="仿宋" w:hAnsi="仿宋" w:eastAsia="仿宋" w:cs="仿宋"/>
          <w:b/>
          <w:bCs/>
          <w:color w:val="auto"/>
          <w:sz w:val="28"/>
          <w:szCs w:val="28"/>
          <w:lang w:eastAsia="zh-CN"/>
        </w:rPr>
      </w:pPr>
    </w:p>
    <w:p w14:paraId="2782C9DF">
      <w:pPr>
        <w:spacing w:after="99" w:line="1" w:lineRule="exact"/>
        <w:rPr>
          <w:rFonts w:hint="eastAsia" w:ascii="仿宋" w:hAnsi="仿宋" w:eastAsia="仿宋" w:cs="仿宋"/>
          <w:color w:val="auto"/>
          <w:sz w:val="28"/>
          <w:szCs w:val="28"/>
        </w:rPr>
      </w:pPr>
    </w:p>
    <w:p w14:paraId="5F918675">
      <w:pPr>
        <w:pStyle w:val="28"/>
        <w:tabs>
          <w:tab w:val="left" w:pos="2263"/>
          <w:tab w:val="left" w:pos="3102"/>
          <w:tab w:val="left" w:pos="3933"/>
        </w:tabs>
        <w:spacing w:after="180" w:line="240" w:lineRule="auto"/>
        <w:ind w:firstLine="380"/>
        <w:jc w:val="both"/>
        <w:rPr>
          <w:rFonts w:hint="eastAsia" w:ascii="仿宋" w:hAnsi="仿宋" w:eastAsia="仿宋" w:cs="仿宋"/>
          <w:color w:val="auto"/>
          <w:sz w:val="28"/>
          <w:szCs w:val="28"/>
        </w:rPr>
      </w:pPr>
    </w:p>
    <w:p w14:paraId="083EEEDF">
      <w:pPr>
        <w:pStyle w:val="28"/>
        <w:tabs>
          <w:tab w:val="left" w:pos="826"/>
        </w:tabs>
        <w:spacing w:line="470" w:lineRule="exact"/>
        <w:ind w:firstLine="0"/>
        <w:jc w:val="both"/>
        <w:rPr>
          <w:rFonts w:hint="eastAsia" w:ascii="仿宋" w:hAnsi="仿宋" w:eastAsia="仿宋" w:cs="仿宋"/>
          <w:color w:val="auto"/>
          <w:sz w:val="28"/>
          <w:szCs w:val="28"/>
        </w:rPr>
      </w:pPr>
    </w:p>
    <w:sectPr>
      <w:footerReference r:id="rId5"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_x000B__x000C_">
    <w:altName w:val="Courier New"/>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62B84">
    <w:pPr>
      <w:pStyle w:val="11"/>
      <w:ind w:right="360"/>
      <w:jc w:val="both"/>
    </w:pPr>
    <w:r>
      <w:rPr>
        <w:sz w:val="13"/>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DFDD5E">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CDFDD5E">
                    <w:pPr>
                      <w:pStyle w:val="11"/>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sz w:val="13"/>
        <w:szCs w:val="13"/>
      </w:rPr>
      <w:t xml:space="preserve"> </w:t>
    </w:r>
    <w:r>
      <w:rPr>
        <w:rFonts w:hint="eastAsia"/>
      </w:rPr>
      <w:t xml:space="preserve">  </w:t>
    </w:r>
  </w:p>
  <w:p w14:paraId="37EF36A4">
    <w:pPr>
      <w:pStyle w:val="11"/>
      <w:tabs>
        <w:tab w:val="center" w:pos="4320"/>
        <w:tab w:val="right" w:pos="8640"/>
        <w:tab w:val="clear" w:pos="4153"/>
        <w:tab w:val="clear" w:pos="8306"/>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836A00">
    <w:pPr>
      <w:pStyle w:val="11"/>
      <w:ind w:right="360"/>
      <w:jc w:val="both"/>
      <w:rPr>
        <w:rFonts w:hint="eastAsia"/>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6BAE6DB">
                          <w:pPr>
                            <w:pStyle w:val="11"/>
                          </w:pPr>
                          <w:r>
                            <w:fldChar w:fldCharType="begin"/>
                          </w:r>
                          <w:r>
                            <w:instrText xml:space="preserve"> PAGE  \* MERGEFORMAT </w:instrText>
                          </w:r>
                          <w:r>
                            <w:fldChar w:fldCharType="separate"/>
                          </w:r>
                          <w:r>
                            <w:t>13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qttzM4BAACpAwAADgAAAGRycy9lMm9Eb2MueG1srVPNjtMwEL4j8Q6W&#10;7zRpk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abmr5ecOWHpxS/fv11+/Lr8/Moo&#10;RgL1ASuqewhUGYc7P9DazHGkYOI9tGDTlxgxypO856u8aohMpkvr1XpdUkpSbnYIv3i8HgDjW+Ut&#10;S0bNgd4vyypO7zGOpXNJ6ub8vTYmv6FxfwUIc4yovATT7cRknDhZcdgPE729b87ErqdFqLmjvefM&#10;vHOkc9qZ2YDZ2M/GMYA+dHmpUncMt8dII+VJU4cRlhgmh14wc522La3In36uevzDt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KarbczOAQAAqQMAAA4AAAAAAAAAAQAgAAAAHgEAAGRycy9l&#10;Mm9Eb2MueG1sUEsFBgAAAAAGAAYAWQEAAF4FAAAAAA==&#10;">
              <v:fill on="f" focussize="0,0"/>
              <v:stroke on="f"/>
              <v:imagedata o:title=""/>
              <o:lock v:ext="edit" aspectratio="f"/>
              <v:textbox inset="0mm,0mm,0mm,0mm" style="mso-fit-shape-to-text:t;">
                <w:txbxContent>
                  <w:p w14:paraId="06BAE6DB">
                    <w:pPr>
                      <w:pStyle w:val="11"/>
                    </w:pPr>
                    <w:r>
                      <w:fldChar w:fldCharType="begin"/>
                    </w:r>
                    <w:r>
                      <w:instrText xml:space="preserve"> PAGE  \* MERGEFORMAT </w:instrText>
                    </w:r>
                    <w:r>
                      <w:fldChar w:fldCharType="separate"/>
                    </w:r>
                    <w:r>
                      <w:t>13</w:t>
                    </w:r>
                    <w:r>
                      <w:fldChar w:fldCharType="end"/>
                    </w:r>
                  </w:p>
                </w:txbxContent>
              </v:textbox>
            </v:shape>
          </w:pict>
        </mc:Fallback>
      </mc:AlternateContent>
    </w:r>
    <w:r>
      <w:rPr>
        <w:rFonts w:hint="eastAsia" w:ascii="宋体" w:hAnsi="宋体" w:eastAsia="宋体" w:cs="宋体"/>
        <w:b w:val="0"/>
        <w:bCs w:val="0"/>
        <w:color w:val="auto"/>
        <w:sz w:val="24"/>
        <w:szCs w:val="24"/>
        <w:u w:val="none"/>
        <w:lang w:val="en-US" w:eastAsia="zh-CN"/>
      </w:rPr>
      <w:t xml:space="preserve">  </w:t>
    </w:r>
    <w:r>
      <w:rPr>
        <w:rFonts w:hint="eastAsia"/>
        <w:sz w:val="13"/>
        <w:szCs w:val="13"/>
      </w:rPr>
      <w:t xml:space="preserve"> </w:t>
    </w:r>
    <w:r>
      <w:rPr>
        <w:rFonts w:hint="eastAsia"/>
      </w:rPr>
      <w:t xml:space="preserve"> </w:t>
    </w:r>
    <w:r>
      <w:rPr>
        <w:rFonts w:hint="eastAsia"/>
        <w:color w:val="800000"/>
        <w:sz w:val="16"/>
        <w:szCs w:val="20"/>
        <w:lang w:val="en-US" w:eastAsia="zh-CN"/>
      </w:rPr>
      <w:t xml:space="preserve">      </w:t>
    </w:r>
  </w:p>
  <w:p w14:paraId="033D1F9C">
    <w:pPr>
      <w:pStyle w:val="11"/>
      <w:keepNext w:val="0"/>
      <w:keepLines w:val="0"/>
      <w:pageBreakBefore w:val="0"/>
      <w:widowControl w:val="0"/>
      <w:kinsoku/>
      <w:wordWrap/>
      <w:overflowPunct/>
      <w:topLinePunct w:val="0"/>
      <w:autoSpaceDE w:val="0"/>
      <w:autoSpaceDN w:val="0"/>
      <w:bidi w:val="0"/>
      <w:adjustRightInd w:val="0"/>
      <w:snapToGrid w:val="0"/>
      <w:spacing w:line="240" w:lineRule="auto"/>
      <w:ind w:left="7200" w:hanging="7200" w:hangingChars="4000"/>
      <w:jc w:val="both"/>
      <w:textAlignment w:val="auto"/>
      <w:rPr>
        <w:rFonts w:hint="default"/>
        <w:lang w:val="en-US"/>
      </w:rPr>
    </w:pPr>
  </w:p>
  <w:p w14:paraId="44F276F2">
    <w:pPr>
      <w:pStyle w:val="11"/>
      <w:ind w:right="360"/>
      <w:jc w:val="right"/>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BED6B">
    <w:pPr>
      <w:pStyle w:val="1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19373929">
                          <w:pPr>
                            <w:pStyle w:val="11"/>
                          </w:pPr>
                          <w:r>
                            <w:fldChar w:fldCharType="begin"/>
                          </w:r>
                          <w:r>
                            <w:instrText xml:space="preserve"> PAGE  \* MERGEFORMAT </w:instrText>
                          </w:r>
                          <w:r>
                            <w:fldChar w:fldCharType="separate"/>
                          </w:r>
                          <w:r>
                            <w:t>55</w:t>
                          </w:r>
                          <w:r>
                            <w:fldChar w:fldCharType="end"/>
                          </w:r>
                        </w:p>
                      </w:txbxContent>
                    </wps:txbx>
                    <wps:bodyPr wrap="none" lIns="0" tIns="0" rIns="0" bIns="0" upright="1">
                      <a:spAutoFit/>
                    </wps:bodyPr>
                  </wps:wsp>
                </a:graphicData>
              </a:graphic>
            </wp:anchor>
          </w:drawing>
        </mc:Choice>
        <mc:Fallback>
          <w:pict>
            <v:rect id="文本框 13"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QZEb3FAQAAkQMAAA4AAABkcnMvZTJvRG9jLnhtbK1TzY7TMBC+I/EO&#10;lu80aZF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gT3nLmhKUbv3z/dvnx6/Lz&#10;K6MaGdQHrKjvMTzAlCGFSe3Qgk1v0sGGbOr5aqoaIpNUXK5X63VJfks6mxPCKZ4+D4DxXnnLUlBz&#10;oFvLZorTB4xj69ySpjl/p42huqiM+6tAmKlSJMYjxxTFYT9MxPe+OZPeni685o72mzPz3pGfaTfm&#10;AOZgPwfHAPrQEbVl5oXh9hiJROaWJoyw02C6qaxu2qq0Cn/muevpT9r+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AkGRG9xQEAAJEDAAAOAAAAAAAAAAEAIAAAAB8BAABkcnMvZTJvRG9jLnht&#10;bFBLBQYAAAAABgAGAFkBAABWBQAAAAA=&#10;">
              <v:fill on="f" focussize="0,0"/>
              <v:stroke on="f"/>
              <v:imagedata o:title=""/>
              <o:lock v:ext="edit" aspectratio="f"/>
              <v:textbox inset="0mm,0mm,0mm,0mm" style="mso-fit-shape-to-text:t;">
                <w:txbxContent>
                  <w:p w14:paraId="19373929">
                    <w:pPr>
                      <w:pStyle w:val="11"/>
                    </w:pPr>
                    <w:r>
                      <w:fldChar w:fldCharType="begin"/>
                    </w:r>
                    <w:r>
                      <w:instrText xml:space="preserve"> PAGE  \* MERGEFORMAT </w:instrText>
                    </w:r>
                    <w:r>
                      <w:fldChar w:fldCharType="separate"/>
                    </w:r>
                    <w:r>
                      <w:t>55</w:t>
                    </w:r>
                    <w: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BE8236"/>
    <w:multiLevelType w:val="singleLevel"/>
    <w:tmpl w:val="A2BE8236"/>
    <w:lvl w:ilvl="0" w:tentative="0">
      <w:start w:val="1"/>
      <w:numFmt w:val="decimal"/>
      <w:suff w:val="nothing"/>
      <w:lvlText w:val="%1、"/>
      <w:lvlJc w:val="left"/>
    </w:lvl>
  </w:abstractNum>
  <w:abstractNum w:abstractNumId="1">
    <w:nsid w:val="0000000D"/>
    <w:multiLevelType w:val="multilevel"/>
    <w:tmpl w:val="0000000D"/>
    <w:lvl w:ilvl="0" w:tentative="0">
      <w:start w:val="1"/>
      <w:numFmt w:val="decimal"/>
      <w:pStyle w:val="7"/>
      <w:lvlText w:val="%1."/>
      <w:lvlJc w:val="left"/>
      <w:pPr>
        <w:tabs>
          <w:tab w:val="left" w:pos="780"/>
        </w:tabs>
        <w:ind w:left="790" w:hanging="430"/>
      </w:pPr>
      <w:rPr>
        <w:rFonts w:hint="eastAsia"/>
      </w:rPr>
    </w:lvl>
    <w:lvl w:ilvl="1" w:tentative="0">
      <w:start w:val="1"/>
      <w:numFmt w:val="decimal"/>
      <w:lvlText w:val="%1.%2"/>
      <w:lvlJc w:val="left"/>
      <w:pPr>
        <w:tabs>
          <w:tab w:val="left" w:pos="880"/>
        </w:tabs>
        <w:ind w:left="880" w:hanging="700"/>
      </w:pPr>
      <w:rPr>
        <w:rFonts w:ascii="宋体" w:hAnsi="宋体" w:eastAsia="宋体" w:cs="Times New Roman"/>
        <w:lang w:val="en-US"/>
      </w:rPr>
    </w:lvl>
    <w:lvl w:ilvl="2" w:tentative="0">
      <w:start w:val="1"/>
      <w:numFmt w:val="decimal"/>
      <w:lvlText w:val="%1.%2.%3"/>
      <w:lvlJc w:val="left"/>
      <w:pPr>
        <w:tabs>
          <w:tab w:val="left" w:pos="1360"/>
        </w:tabs>
        <w:ind w:left="1360" w:hanging="1000"/>
      </w:pPr>
      <w:rPr>
        <w:rFonts w:hint="eastAsia"/>
      </w:rPr>
    </w:lvl>
    <w:lvl w:ilvl="3" w:tentative="0">
      <w:start w:val="1"/>
      <w:numFmt w:val="decimal"/>
      <w:lvlText w:val="%1.%2.%3.%4"/>
      <w:lvlJc w:val="left"/>
      <w:pPr>
        <w:tabs>
          <w:tab w:val="left" w:pos="360"/>
        </w:tabs>
        <w:ind w:left="2344" w:hanging="1984"/>
      </w:pPr>
      <w:rPr>
        <w:rFonts w:hint="eastAsia"/>
      </w:rPr>
    </w:lvl>
    <w:lvl w:ilvl="4" w:tentative="0">
      <w:start w:val="1"/>
      <w:numFmt w:val="decimal"/>
      <w:lvlText w:val="%1.%2.%3.%4.%5"/>
      <w:lvlJc w:val="left"/>
      <w:pPr>
        <w:tabs>
          <w:tab w:val="left" w:pos="2911"/>
        </w:tabs>
        <w:ind w:left="2911" w:hanging="850"/>
      </w:pPr>
      <w:rPr>
        <w:rFonts w:hint="eastAsia"/>
      </w:rPr>
    </w:lvl>
    <w:lvl w:ilvl="5" w:tentative="0">
      <w:start w:val="1"/>
      <w:numFmt w:val="decimal"/>
      <w:lvlText w:val="%1.%2.%3.%4.%5.%6"/>
      <w:lvlJc w:val="left"/>
      <w:pPr>
        <w:tabs>
          <w:tab w:val="left" w:pos="3620"/>
        </w:tabs>
        <w:ind w:left="3620" w:hanging="1134"/>
      </w:pPr>
      <w:rPr>
        <w:rFonts w:hint="eastAsia"/>
      </w:rPr>
    </w:lvl>
    <w:lvl w:ilvl="6" w:tentative="0">
      <w:start w:val="1"/>
      <w:numFmt w:val="decimal"/>
      <w:lvlText w:val="%1.%2.%3.%4.%5.%6.%7"/>
      <w:lvlJc w:val="left"/>
      <w:pPr>
        <w:tabs>
          <w:tab w:val="left" w:pos="4187"/>
        </w:tabs>
        <w:ind w:left="4187" w:hanging="1276"/>
      </w:pPr>
      <w:rPr>
        <w:rFonts w:hint="eastAsia"/>
      </w:rPr>
    </w:lvl>
    <w:lvl w:ilvl="7" w:tentative="0">
      <w:start w:val="1"/>
      <w:numFmt w:val="decimal"/>
      <w:lvlText w:val="%1.%2.%3.%4.%5.%6.%7.%8"/>
      <w:lvlJc w:val="left"/>
      <w:pPr>
        <w:tabs>
          <w:tab w:val="left" w:pos="4754"/>
        </w:tabs>
        <w:ind w:left="4754" w:hanging="1418"/>
      </w:pPr>
      <w:rPr>
        <w:rFonts w:hint="eastAsia"/>
      </w:rPr>
    </w:lvl>
    <w:lvl w:ilvl="8" w:tentative="0">
      <w:start w:val="1"/>
      <w:numFmt w:val="decimal"/>
      <w:lvlText w:val="%1.%2.%3.%4.%5.%6.%7.%8.%9"/>
      <w:lvlJc w:val="left"/>
      <w:pPr>
        <w:tabs>
          <w:tab w:val="left" w:pos="5462"/>
        </w:tabs>
        <w:ind w:left="5462" w:hanging="1700"/>
      </w:pPr>
      <w:rPr>
        <w:rFonts w:hint="eastAsia"/>
      </w:rPr>
    </w:lvl>
  </w:abstractNum>
  <w:abstractNum w:abstractNumId="2">
    <w:nsid w:val="0CDAA0AB"/>
    <w:multiLevelType w:val="singleLevel"/>
    <w:tmpl w:val="0CDAA0AB"/>
    <w:lvl w:ilvl="0" w:tentative="0">
      <w:start w:val="1"/>
      <w:numFmt w:val="chineseCounting"/>
      <w:suff w:val="nothing"/>
      <w:lvlText w:val="（%1）"/>
      <w:lvlJc w:val="left"/>
      <w:rPr>
        <w:rFonts w:hint="eastAsia"/>
      </w:rPr>
    </w:lvl>
  </w:abstractNum>
  <w:abstractNum w:abstractNumId="3">
    <w:nsid w:val="12BBC8AF"/>
    <w:multiLevelType w:val="singleLevel"/>
    <w:tmpl w:val="12BBC8AF"/>
    <w:lvl w:ilvl="0" w:tentative="0">
      <w:start w:val="1"/>
      <w:numFmt w:val="decimal"/>
      <w:suff w:val="nothing"/>
      <w:lvlText w:val="（%1）"/>
      <w:lvlJc w:val="left"/>
    </w:lvl>
  </w:abstractNum>
  <w:abstractNum w:abstractNumId="4">
    <w:nsid w:val="3EA33E32"/>
    <w:multiLevelType w:val="singleLevel"/>
    <w:tmpl w:val="3EA33E32"/>
    <w:lvl w:ilvl="0" w:tentative="0">
      <w:start w:val="1"/>
      <w:numFmt w:val="chineseCounting"/>
      <w:suff w:val="space"/>
      <w:lvlText w:val="第%1部分"/>
      <w:lvlJc w:val="left"/>
      <w:pPr>
        <w:ind w:left="980"/>
      </w:pPr>
      <w:rPr>
        <w:rFonts w:hint="eastAsia"/>
      </w:rPr>
    </w:lvl>
  </w:abstractNum>
  <w:abstractNum w:abstractNumId="5">
    <w:nsid w:val="5E5A7A00"/>
    <w:multiLevelType w:val="singleLevel"/>
    <w:tmpl w:val="5E5A7A00"/>
    <w:lvl w:ilvl="0" w:tentative="0">
      <w:start w:val="1"/>
      <w:numFmt w:val="decimal"/>
      <w:suff w:val="nothing"/>
      <w:lvlText w:val="%1、"/>
      <w:lvlJc w:val="left"/>
    </w:lvl>
  </w:abstractNum>
  <w:abstractNum w:abstractNumId="6">
    <w:nsid w:val="7B6D273E"/>
    <w:multiLevelType w:val="singleLevel"/>
    <w:tmpl w:val="7B6D273E"/>
    <w:lvl w:ilvl="0" w:tentative="0">
      <w:start w:val="5"/>
      <w:numFmt w:val="decimal"/>
      <w:suff w:val="nothing"/>
      <w:lvlText w:val="%1、"/>
      <w:lvlJc w:val="left"/>
    </w:lvl>
  </w:abstractNum>
  <w:num w:numId="1">
    <w:abstractNumId w:val="1"/>
  </w:num>
  <w:num w:numId="2">
    <w:abstractNumId w:val="4"/>
  </w:num>
  <w:num w:numId="3">
    <w:abstractNumId w:val="0"/>
  </w:num>
  <w:num w:numId="4">
    <w:abstractNumId w:val="3"/>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jMzE5NmIxMjM2OTc3YmIwM2ZhOTgwZTg5NDcwZGUifQ=="/>
  </w:docVars>
  <w:rsids>
    <w:rsidRoot w:val="430832B2"/>
    <w:rsid w:val="00176ACE"/>
    <w:rsid w:val="001E462A"/>
    <w:rsid w:val="003A6B95"/>
    <w:rsid w:val="004519BB"/>
    <w:rsid w:val="006911F9"/>
    <w:rsid w:val="00946C9D"/>
    <w:rsid w:val="0098388D"/>
    <w:rsid w:val="009B0550"/>
    <w:rsid w:val="00A768E1"/>
    <w:rsid w:val="00D544C1"/>
    <w:rsid w:val="00DA7A9B"/>
    <w:rsid w:val="00DE3995"/>
    <w:rsid w:val="00E346F3"/>
    <w:rsid w:val="01311D17"/>
    <w:rsid w:val="01471193"/>
    <w:rsid w:val="015836BC"/>
    <w:rsid w:val="01583748"/>
    <w:rsid w:val="01E26C5E"/>
    <w:rsid w:val="02783AB4"/>
    <w:rsid w:val="02887F4E"/>
    <w:rsid w:val="029A0A76"/>
    <w:rsid w:val="02C12630"/>
    <w:rsid w:val="02FB136D"/>
    <w:rsid w:val="02FF7BF3"/>
    <w:rsid w:val="03120DC1"/>
    <w:rsid w:val="03BC31BE"/>
    <w:rsid w:val="03FD4132"/>
    <w:rsid w:val="04161698"/>
    <w:rsid w:val="042A106A"/>
    <w:rsid w:val="04D60C9E"/>
    <w:rsid w:val="05C16796"/>
    <w:rsid w:val="05C23886"/>
    <w:rsid w:val="05C70E9C"/>
    <w:rsid w:val="05D830A9"/>
    <w:rsid w:val="05E65820"/>
    <w:rsid w:val="060B33AF"/>
    <w:rsid w:val="061C242F"/>
    <w:rsid w:val="063B7194"/>
    <w:rsid w:val="0671176C"/>
    <w:rsid w:val="0699677B"/>
    <w:rsid w:val="070C7661"/>
    <w:rsid w:val="07303CA3"/>
    <w:rsid w:val="07376B76"/>
    <w:rsid w:val="07F95559"/>
    <w:rsid w:val="081144B5"/>
    <w:rsid w:val="085D1644"/>
    <w:rsid w:val="085D5AE7"/>
    <w:rsid w:val="09231976"/>
    <w:rsid w:val="093B78CB"/>
    <w:rsid w:val="09B14DBC"/>
    <w:rsid w:val="09D059EE"/>
    <w:rsid w:val="09F61E3E"/>
    <w:rsid w:val="0A2F75F7"/>
    <w:rsid w:val="0A7E1D45"/>
    <w:rsid w:val="0AEE1196"/>
    <w:rsid w:val="0B2F3756"/>
    <w:rsid w:val="0B4421B4"/>
    <w:rsid w:val="0B446AEB"/>
    <w:rsid w:val="0B6D588F"/>
    <w:rsid w:val="0B8B64C8"/>
    <w:rsid w:val="0BF26C44"/>
    <w:rsid w:val="0C3C3C66"/>
    <w:rsid w:val="0C4F055A"/>
    <w:rsid w:val="0CBE1168"/>
    <w:rsid w:val="0CDF324B"/>
    <w:rsid w:val="0D6A0706"/>
    <w:rsid w:val="0D811CDB"/>
    <w:rsid w:val="0DA51639"/>
    <w:rsid w:val="0DCE3CFC"/>
    <w:rsid w:val="0EB61B3E"/>
    <w:rsid w:val="0F353C35"/>
    <w:rsid w:val="0F8A0150"/>
    <w:rsid w:val="0FFC769D"/>
    <w:rsid w:val="103A670E"/>
    <w:rsid w:val="10685029"/>
    <w:rsid w:val="108005C5"/>
    <w:rsid w:val="108B2820"/>
    <w:rsid w:val="108C51BC"/>
    <w:rsid w:val="10F16DCD"/>
    <w:rsid w:val="11016BDA"/>
    <w:rsid w:val="113E6612"/>
    <w:rsid w:val="120509AC"/>
    <w:rsid w:val="12084764"/>
    <w:rsid w:val="125622C4"/>
    <w:rsid w:val="12C014C0"/>
    <w:rsid w:val="136A4473"/>
    <w:rsid w:val="13F43A1D"/>
    <w:rsid w:val="147B69EE"/>
    <w:rsid w:val="149E726C"/>
    <w:rsid w:val="14CC24CA"/>
    <w:rsid w:val="1525173B"/>
    <w:rsid w:val="152F1B60"/>
    <w:rsid w:val="153C6A85"/>
    <w:rsid w:val="1594785E"/>
    <w:rsid w:val="15C2342E"/>
    <w:rsid w:val="15E25EDB"/>
    <w:rsid w:val="15E839EB"/>
    <w:rsid w:val="15EE5971"/>
    <w:rsid w:val="15FF3B9E"/>
    <w:rsid w:val="162905B3"/>
    <w:rsid w:val="16480AD2"/>
    <w:rsid w:val="166C10D0"/>
    <w:rsid w:val="16840900"/>
    <w:rsid w:val="168411C4"/>
    <w:rsid w:val="16AA639C"/>
    <w:rsid w:val="16D3103C"/>
    <w:rsid w:val="171F0B4E"/>
    <w:rsid w:val="17EB3771"/>
    <w:rsid w:val="1837336E"/>
    <w:rsid w:val="185D11EC"/>
    <w:rsid w:val="1869193F"/>
    <w:rsid w:val="18760552"/>
    <w:rsid w:val="18876FE4"/>
    <w:rsid w:val="189D783A"/>
    <w:rsid w:val="18AB28D3"/>
    <w:rsid w:val="18CC2617"/>
    <w:rsid w:val="18E2243E"/>
    <w:rsid w:val="18FE29CF"/>
    <w:rsid w:val="1934129D"/>
    <w:rsid w:val="19560639"/>
    <w:rsid w:val="19651766"/>
    <w:rsid w:val="198D3D53"/>
    <w:rsid w:val="19AE52C2"/>
    <w:rsid w:val="19D56FD4"/>
    <w:rsid w:val="1A09121C"/>
    <w:rsid w:val="1AA14F3E"/>
    <w:rsid w:val="1AD976EE"/>
    <w:rsid w:val="1BE65325"/>
    <w:rsid w:val="1C8A11C3"/>
    <w:rsid w:val="1D4D5CD3"/>
    <w:rsid w:val="1D570900"/>
    <w:rsid w:val="1D743467"/>
    <w:rsid w:val="1E5372F1"/>
    <w:rsid w:val="1E6813A9"/>
    <w:rsid w:val="1E9F3EE4"/>
    <w:rsid w:val="1F5B26D6"/>
    <w:rsid w:val="1FA567E1"/>
    <w:rsid w:val="20061318"/>
    <w:rsid w:val="201B5DF2"/>
    <w:rsid w:val="21241BF2"/>
    <w:rsid w:val="216D6944"/>
    <w:rsid w:val="21E64000"/>
    <w:rsid w:val="21EC4201"/>
    <w:rsid w:val="21FE7E2D"/>
    <w:rsid w:val="224D3F2E"/>
    <w:rsid w:val="22965E6B"/>
    <w:rsid w:val="22C93424"/>
    <w:rsid w:val="22C95DFC"/>
    <w:rsid w:val="23720241"/>
    <w:rsid w:val="23C35548"/>
    <w:rsid w:val="23E0129C"/>
    <w:rsid w:val="23F46EA8"/>
    <w:rsid w:val="23F61FE0"/>
    <w:rsid w:val="2400621E"/>
    <w:rsid w:val="249F39C9"/>
    <w:rsid w:val="24C34ABF"/>
    <w:rsid w:val="24C421D5"/>
    <w:rsid w:val="25186BBB"/>
    <w:rsid w:val="25546BA5"/>
    <w:rsid w:val="25FB510C"/>
    <w:rsid w:val="260B3B46"/>
    <w:rsid w:val="261065A0"/>
    <w:rsid w:val="26192BF6"/>
    <w:rsid w:val="265353B0"/>
    <w:rsid w:val="269756C8"/>
    <w:rsid w:val="26E94F43"/>
    <w:rsid w:val="27442F7D"/>
    <w:rsid w:val="27D642EB"/>
    <w:rsid w:val="27E40FE2"/>
    <w:rsid w:val="27F4193C"/>
    <w:rsid w:val="28044AB8"/>
    <w:rsid w:val="281177B6"/>
    <w:rsid w:val="281D63CC"/>
    <w:rsid w:val="2826784C"/>
    <w:rsid w:val="28564CBB"/>
    <w:rsid w:val="291C049E"/>
    <w:rsid w:val="29A33DE7"/>
    <w:rsid w:val="2A811C61"/>
    <w:rsid w:val="2ACD12EC"/>
    <w:rsid w:val="2AF552B4"/>
    <w:rsid w:val="2B5E0BE6"/>
    <w:rsid w:val="2B762634"/>
    <w:rsid w:val="2BD23019"/>
    <w:rsid w:val="2BFC0FF0"/>
    <w:rsid w:val="2C0C074C"/>
    <w:rsid w:val="2CA55697"/>
    <w:rsid w:val="2CCC7380"/>
    <w:rsid w:val="2D1B0C53"/>
    <w:rsid w:val="2D3C3247"/>
    <w:rsid w:val="2D8762FF"/>
    <w:rsid w:val="2DDE4B40"/>
    <w:rsid w:val="2E3708A7"/>
    <w:rsid w:val="2E5A5F56"/>
    <w:rsid w:val="2EA339A5"/>
    <w:rsid w:val="2EBF0297"/>
    <w:rsid w:val="2EE10029"/>
    <w:rsid w:val="2F1A353B"/>
    <w:rsid w:val="2F512F3E"/>
    <w:rsid w:val="2F7E1D1C"/>
    <w:rsid w:val="2F8701F1"/>
    <w:rsid w:val="2FBE036A"/>
    <w:rsid w:val="30004E27"/>
    <w:rsid w:val="302F3429"/>
    <w:rsid w:val="30644630"/>
    <w:rsid w:val="30A53A72"/>
    <w:rsid w:val="30D42619"/>
    <w:rsid w:val="30EE2FEC"/>
    <w:rsid w:val="31340F79"/>
    <w:rsid w:val="317E6AC1"/>
    <w:rsid w:val="31A66981"/>
    <w:rsid w:val="31C54436"/>
    <w:rsid w:val="31D97301"/>
    <w:rsid w:val="328104FA"/>
    <w:rsid w:val="32CE6DC2"/>
    <w:rsid w:val="331B494E"/>
    <w:rsid w:val="335A6787"/>
    <w:rsid w:val="335C76C1"/>
    <w:rsid w:val="33711DCF"/>
    <w:rsid w:val="337E0595"/>
    <w:rsid w:val="3454129D"/>
    <w:rsid w:val="3464452F"/>
    <w:rsid w:val="34680F1F"/>
    <w:rsid w:val="346E0078"/>
    <w:rsid w:val="34AC63E7"/>
    <w:rsid w:val="34BF0E0C"/>
    <w:rsid w:val="34D21F37"/>
    <w:rsid w:val="34FF56AD"/>
    <w:rsid w:val="35427B0F"/>
    <w:rsid w:val="35B0680E"/>
    <w:rsid w:val="364E31D7"/>
    <w:rsid w:val="36AA5E0A"/>
    <w:rsid w:val="36CC7811"/>
    <w:rsid w:val="37094C18"/>
    <w:rsid w:val="372876AC"/>
    <w:rsid w:val="374F411C"/>
    <w:rsid w:val="37B24C58"/>
    <w:rsid w:val="37C3244F"/>
    <w:rsid w:val="38083993"/>
    <w:rsid w:val="38855EC9"/>
    <w:rsid w:val="39120E26"/>
    <w:rsid w:val="391D07F7"/>
    <w:rsid w:val="3950297B"/>
    <w:rsid w:val="3956224D"/>
    <w:rsid w:val="395E323D"/>
    <w:rsid w:val="39621FF0"/>
    <w:rsid w:val="397958CA"/>
    <w:rsid w:val="39D00B00"/>
    <w:rsid w:val="3A577D39"/>
    <w:rsid w:val="3AD117C4"/>
    <w:rsid w:val="3BAB1F76"/>
    <w:rsid w:val="3C6502BB"/>
    <w:rsid w:val="3CA827C1"/>
    <w:rsid w:val="3D08452F"/>
    <w:rsid w:val="3D2A5291"/>
    <w:rsid w:val="3D751F42"/>
    <w:rsid w:val="3D8004D0"/>
    <w:rsid w:val="3DA2751D"/>
    <w:rsid w:val="3E0F03F9"/>
    <w:rsid w:val="3E1B6F88"/>
    <w:rsid w:val="3E481E73"/>
    <w:rsid w:val="3EF94F1B"/>
    <w:rsid w:val="3F1E0E25"/>
    <w:rsid w:val="3F602B86"/>
    <w:rsid w:val="3FA330D9"/>
    <w:rsid w:val="40601860"/>
    <w:rsid w:val="406F4E32"/>
    <w:rsid w:val="408E72C3"/>
    <w:rsid w:val="408E7BCF"/>
    <w:rsid w:val="40B26236"/>
    <w:rsid w:val="416F668A"/>
    <w:rsid w:val="41810090"/>
    <w:rsid w:val="418F7DB9"/>
    <w:rsid w:val="41ED2E2C"/>
    <w:rsid w:val="421D7EEF"/>
    <w:rsid w:val="424B2C43"/>
    <w:rsid w:val="42701998"/>
    <w:rsid w:val="427042FE"/>
    <w:rsid w:val="42F56341"/>
    <w:rsid w:val="42F70751"/>
    <w:rsid w:val="430832B2"/>
    <w:rsid w:val="431751E3"/>
    <w:rsid w:val="431B4325"/>
    <w:rsid w:val="43C755E8"/>
    <w:rsid w:val="44091C43"/>
    <w:rsid w:val="44641871"/>
    <w:rsid w:val="44740DA7"/>
    <w:rsid w:val="44CE660D"/>
    <w:rsid w:val="45094EEC"/>
    <w:rsid w:val="451311C2"/>
    <w:rsid w:val="454815E5"/>
    <w:rsid w:val="45567A0A"/>
    <w:rsid w:val="457C2033"/>
    <w:rsid w:val="45C60461"/>
    <w:rsid w:val="45F1594D"/>
    <w:rsid w:val="45FD2B80"/>
    <w:rsid w:val="467B17AA"/>
    <w:rsid w:val="468803A0"/>
    <w:rsid w:val="46CC1167"/>
    <w:rsid w:val="46F77B89"/>
    <w:rsid w:val="46FD5548"/>
    <w:rsid w:val="470349C9"/>
    <w:rsid w:val="4743767B"/>
    <w:rsid w:val="47E837E0"/>
    <w:rsid w:val="487A3570"/>
    <w:rsid w:val="48A00AFD"/>
    <w:rsid w:val="49D40A5E"/>
    <w:rsid w:val="49E669E4"/>
    <w:rsid w:val="4A3B2AF5"/>
    <w:rsid w:val="4A6D4A0F"/>
    <w:rsid w:val="4AA64A3A"/>
    <w:rsid w:val="4AF968BD"/>
    <w:rsid w:val="4B407076"/>
    <w:rsid w:val="4B4C358F"/>
    <w:rsid w:val="4B577B99"/>
    <w:rsid w:val="4B78366B"/>
    <w:rsid w:val="4BB73B85"/>
    <w:rsid w:val="4C257A37"/>
    <w:rsid w:val="4C944C1F"/>
    <w:rsid w:val="4D601FB1"/>
    <w:rsid w:val="4D7C782E"/>
    <w:rsid w:val="4D8771D0"/>
    <w:rsid w:val="4DA40CFB"/>
    <w:rsid w:val="4DF50B78"/>
    <w:rsid w:val="4E393586"/>
    <w:rsid w:val="4E6938E7"/>
    <w:rsid w:val="4EC10539"/>
    <w:rsid w:val="4F006719"/>
    <w:rsid w:val="4F0C65CD"/>
    <w:rsid w:val="4F1F420E"/>
    <w:rsid w:val="4F2E489B"/>
    <w:rsid w:val="50080AAD"/>
    <w:rsid w:val="500C5490"/>
    <w:rsid w:val="50827466"/>
    <w:rsid w:val="50EC43BB"/>
    <w:rsid w:val="51C4568B"/>
    <w:rsid w:val="51D13AD5"/>
    <w:rsid w:val="52327518"/>
    <w:rsid w:val="52923C08"/>
    <w:rsid w:val="532F31A9"/>
    <w:rsid w:val="533662E6"/>
    <w:rsid w:val="53443B6F"/>
    <w:rsid w:val="53476745"/>
    <w:rsid w:val="53C54DEE"/>
    <w:rsid w:val="53D9765E"/>
    <w:rsid w:val="53EB5322"/>
    <w:rsid w:val="543C749F"/>
    <w:rsid w:val="5539030F"/>
    <w:rsid w:val="56493792"/>
    <w:rsid w:val="564C2999"/>
    <w:rsid w:val="56C02A96"/>
    <w:rsid w:val="56DF6C95"/>
    <w:rsid w:val="57711FE2"/>
    <w:rsid w:val="57B26BF0"/>
    <w:rsid w:val="57B974E6"/>
    <w:rsid w:val="57E44562"/>
    <w:rsid w:val="583A2931"/>
    <w:rsid w:val="584E2D0F"/>
    <w:rsid w:val="58501BF8"/>
    <w:rsid w:val="5866783D"/>
    <w:rsid w:val="58725B91"/>
    <w:rsid w:val="587F1FD3"/>
    <w:rsid w:val="58D573B9"/>
    <w:rsid w:val="59142C25"/>
    <w:rsid w:val="59BD150F"/>
    <w:rsid w:val="59CF6C1C"/>
    <w:rsid w:val="59E05E2C"/>
    <w:rsid w:val="5A144EA7"/>
    <w:rsid w:val="5A7C4B82"/>
    <w:rsid w:val="5A871B1D"/>
    <w:rsid w:val="5A987886"/>
    <w:rsid w:val="5BF907F8"/>
    <w:rsid w:val="5C2547FD"/>
    <w:rsid w:val="5C7E7357"/>
    <w:rsid w:val="5D026D46"/>
    <w:rsid w:val="5D2366CB"/>
    <w:rsid w:val="5D3331A6"/>
    <w:rsid w:val="5DA57176"/>
    <w:rsid w:val="5E135BA1"/>
    <w:rsid w:val="5E1D1079"/>
    <w:rsid w:val="5EB94AF4"/>
    <w:rsid w:val="5EFF1C82"/>
    <w:rsid w:val="5FFE4051"/>
    <w:rsid w:val="604B5D12"/>
    <w:rsid w:val="60811987"/>
    <w:rsid w:val="61761FA3"/>
    <w:rsid w:val="6179191D"/>
    <w:rsid w:val="617F070E"/>
    <w:rsid w:val="61947A09"/>
    <w:rsid w:val="61E24540"/>
    <w:rsid w:val="623C3953"/>
    <w:rsid w:val="62611C41"/>
    <w:rsid w:val="62BF00A6"/>
    <w:rsid w:val="62C95A09"/>
    <w:rsid w:val="62CF0F7D"/>
    <w:rsid w:val="633C08A0"/>
    <w:rsid w:val="63E9495A"/>
    <w:rsid w:val="642B273A"/>
    <w:rsid w:val="642B45E0"/>
    <w:rsid w:val="644C459F"/>
    <w:rsid w:val="644E1EA6"/>
    <w:rsid w:val="64677BC9"/>
    <w:rsid w:val="64966F85"/>
    <w:rsid w:val="65680502"/>
    <w:rsid w:val="65C27595"/>
    <w:rsid w:val="65D4762D"/>
    <w:rsid w:val="65E60D0C"/>
    <w:rsid w:val="66824DDB"/>
    <w:rsid w:val="66A5387A"/>
    <w:rsid w:val="66F6096B"/>
    <w:rsid w:val="67002A3B"/>
    <w:rsid w:val="67160D0C"/>
    <w:rsid w:val="67656B1B"/>
    <w:rsid w:val="67AE419D"/>
    <w:rsid w:val="681C7A5C"/>
    <w:rsid w:val="683769EB"/>
    <w:rsid w:val="68881DFA"/>
    <w:rsid w:val="692347F3"/>
    <w:rsid w:val="69543303"/>
    <w:rsid w:val="696B0365"/>
    <w:rsid w:val="696C085C"/>
    <w:rsid w:val="69C96604"/>
    <w:rsid w:val="6ADE7537"/>
    <w:rsid w:val="6B7632CC"/>
    <w:rsid w:val="6C7543E1"/>
    <w:rsid w:val="6C7E74F0"/>
    <w:rsid w:val="6C9F1808"/>
    <w:rsid w:val="6CA7574F"/>
    <w:rsid w:val="6CC81EA4"/>
    <w:rsid w:val="6CD97949"/>
    <w:rsid w:val="6CED3A62"/>
    <w:rsid w:val="6D37776E"/>
    <w:rsid w:val="6D9F6AAE"/>
    <w:rsid w:val="6E36382E"/>
    <w:rsid w:val="6E7A30D3"/>
    <w:rsid w:val="6F8A763A"/>
    <w:rsid w:val="70C202DD"/>
    <w:rsid w:val="712E63F7"/>
    <w:rsid w:val="71F7318A"/>
    <w:rsid w:val="72063321"/>
    <w:rsid w:val="723E3676"/>
    <w:rsid w:val="724C2FD8"/>
    <w:rsid w:val="7265409A"/>
    <w:rsid w:val="727E5137"/>
    <w:rsid w:val="72B229EC"/>
    <w:rsid w:val="72DB435C"/>
    <w:rsid w:val="73224BA3"/>
    <w:rsid w:val="743E4BA3"/>
    <w:rsid w:val="74620891"/>
    <w:rsid w:val="74A920FD"/>
    <w:rsid w:val="74B86703"/>
    <w:rsid w:val="759A17E5"/>
    <w:rsid w:val="75AB1C93"/>
    <w:rsid w:val="75C13CDD"/>
    <w:rsid w:val="76197675"/>
    <w:rsid w:val="761B163F"/>
    <w:rsid w:val="76810114"/>
    <w:rsid w:val="768216BE"/>
    <w:rsid w:val="76FE37DF"/>
    <w:rsid w:val="778A3F9B"/>
    <w:rsid w:val="77901BB9"/>
    <w:rsid w:val="77CD5C91"/>
    <w:rsid w:val="780D320A"/>
    <w:rsid w:val="78180A1F"/>
    <w:rsid w:val="789377BA"/>
    <w:rsid w:val="78A1682F"/>
    <w:rsid w:val="78AE679B"/>
    <w:rsid w:val="792C5912"/>
    <w:rsid w:val="798E0318"/>
    <w:rsid w:val="798E50DC"/>
    <w:rsid w:val="79E104D4"/>
    <w:rsid w:val="7A302A75"/>
    <w:rsid w:val="7A910122"/>
    <w:rsid w:val="7ACA49A1"/>
    <w:rsid w:val="7AD93877"/>
    <w:rsid w:val="7B1C5243"/>
    <w:rsid w:val="7B385EF9"/>
    <w:rsid w:val="7B456F30"/>
    <w:rsid w:val="7B902105"/>
    <w:rsid w:val="7BC65BA9"/>
    <w:rsid w:val="7CA431AC"/>
    <w:rsid w:val="7D423759"/>
    <w:rsid w:val="7D9A23DF"/>
    <w:rsid w:val="7DD956AA"/>
    <w:rsid w:val="7EF23159"/>
    <w:rsid w:val="7FE8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3">
    <w:name w:val="heading 1"/>
    <w:basedOn w:val="1"/>
    <w:next w:val="1"/>
    <w:qFormat/>
    <w:uiPriority w:val="0"/>
    <w:pPr>
      <w:keepNext/>
      <w:keepLines/>
      <w:spacing w:line="360" w:lineRule="auto"/>
      <w:jc w:val="center"/>
      <w:outlineLvl w:val="0"/>
    </w:pPr>
    <w:rPr>
      <w:b/>
      <w:bCs/>
      <w:kern w:val="44"/>
      <w:sz w:val="44"/>
      <w:szCs w:val="44"/>
    </w:rPr>
  </w:style>
  <w:style w:type="paragraph" w:styleId="4">
    <w:name w:val="heading 2"/>
    <w:basedOn w:val="1"/>
    <w:next w:val="1"/>
    <w:qFormat/>
    <w:uiPriority w:val="0"/>
    <w:pPr>
      <w:tabs>
        <w:tab w:val="left" w:pos="540"/>
      </w:tabs>
      <w:adjustRightInd w:val="0"/>
      <w:snapToGrid w:val="0"/>
      <w:spacing w:line="360" w:lineRule="auto"/>
      <w:jc w:val="center"/>
      <w:outlineLvl w:val="1"/>
    </w:pPr>
    <w:rPr>
      <w:rFonts w:ascii="Arial" w:hAnsi="Arial"/>
      <w:b/>
      <w:sz w:val="28"/>
      <w:szCs w:val="20"/>
    </w:rPr>
  </w:style>
  <w:style w:type="paragraph" w:styleId="2">
    <w:name w:val="heading 3"/>
    <w:basedOn w:val="1"/>
    <w:next w:val="1"/>
    <w:qFormat/>
    <w:uiPriority w:val="9"/>
    <w:pPr>
      <w:keepNext/>
      <w:keepLines/>
      <w:spacing w:before="260" w:after="260" w:line="416" w:lineRule="auto"/>
      <w:outlineLvl w:val="2"/>
    </w:pPr>
    <w:rPr>
      <w:b/>
      <w:bCs/>
      <w:sz w:val="32"/>
      <w:szCs w:val="32"/>
    </w:rPr>
  </w:style>
  <w:style w:type="character" w:default="1" w:styleId="19">
    <w:name w:val="Default Paragraph Font"/>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autoSpaceDE w:val="0"/>
      <w:autoSpaceDN w:val="0"/>
      <w:adjustRightInd w:val="0"/>
      <w:ind w:firstLine="420"/>
    </w:pPr>
    <w:rPr>
      <w:rFonts w:ascii="宋体"/>
      <w:szCs w:val="20"/>
    </w:rPr>
  </w:style>
  <w:style w:type="paragraph" w:styleId="6">
    <w:name w:val="toa heading"/>
    <w:basedOn w:val="1"/>
    <w:next w:val="1"/>
    <w:qFormat/>
    <w:uiPriority w:val="0"/>
    <w:pPr>
      <w:spacing w:before="120"/>
    </w:pPr>
    <w:rPr>
      <w:rFonts w:ascii="Cambria" w:hAnsi="Cambria"/>
      <w:szCs w:val="20"/>
    </w:rPr>
  </w:style>
  <w:style w:type="paragraph" w:styleId="7">
    <w:name w:val="Body Text"/>
    <w:basedOn w:val="1"/>
    <w:next w:val="8"/>
    <w:qFormat/>
    <w:uiPriority w:val="99"/>
    <w:pPr>
      <w:numPr>
        <w:ilvl w:val="0"/>
        <w:numId w:val="1"/>
      </w:numPr>
    </w:pPr>
    <w:rPr>
      <w:rFonts w:ascii="黑体" w:eastAsia="黑体"/>
      <w:sz w:val="22"/>
    </w:rPr>
  </w:style>
  <w:style w:type="paragraph" w:styleId="8">
    <w:name w:val="Date"/>
    <w:basedOn w:val="1"/>
    <w:next w:val="1"/>
    <w:qFormat/>
    <w:uiPriority w:val="0"/>
    <w:rPr>
      <w:rFonts w:ascii="Arial" w:hAnsi="Arial" w:eastAsia="仿宋_GB2312"/>
      <w:color w:val="000000"/>
      <w:sz w:val="32"/>
      <w:szCs w:val="20"/>
      <w:u w:val="none" w:color="000000"/>
    </w:rPr>
  </w:style>
  <w:style w:type="paragraph" w:styleId="9">
    <w:name w:val="Plain Text"/>
    <w:basedOn w:val="1"/>
    <w:next w:val="10"/>
    <w:qFormat/>
    <w:uiPriority w:val="0"/>
    <w:rPr>
      <w:rFonts w:ascii="宋体"/>
      <w:color w:val="000000"/>
      <w:szCs w:val="20"/>
      <w:u w:val="none" w:color="000000"/>
    </w:rPr>
  </w:style>
  <w:style w:type="paragraph" w:styleId="10">
    <w:name w:val="index 7"/>
    <w:basedOn w:val="1"/>
    <w:next w:val="1"/>
    <w:qFormat/>
    <w:uiPriority w:val="0"/>
    <w:pPr>
      <w:autoSpaceDE/>
      <w:autoSpaceDN/>
      <w:adjustRightInd/>
      <w:ind w:left="1200" w:leftChars="1200"/>
    </w:pPr>
    <w:rPr>
      <w:color w:val="auto"/>
      <w:kern w:val="2"/>
      <w:szCs w:val="24"/>
    </w:rPr>
  </w:style>
  <w:style w:type="paragraph" w:styleId="11">
    <w:name w:val="footer"/>
    <w:basedOn w:val="1"/>
    <w:qFormat/>
    <w:uiPriority w:val="0"/>
    <w:pPr>
      <w:tabs>
        <w:tab w:val="center" w:pos="4153"/>
        <w:tab w:val="right" w:pos="8306"/>
      </w:tabs>
      <w:snapToGrid w:val="0"/>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3">
    <w:name w:val="footnote text"/>
    <w:basedOn w:val="1"/>
    <w:unhideWhenUsed/>
    <w:qFormat/>
    <w:uiPriority w:val="99"/>
    <w:pPr>
      <w:snapToGrid w:val="0"/>
    </w:pPr>
    <w:rPr>
      <w:sz w:val="18"/>
      <w:szCs w:val="18"/>
    </w:rPr>
  </w:style>
  <w:style w:type="paragraph" w:styleId="14">
    <w:name w:val="Body Text 2"/>
    <w:basedOn w:val="1"/>
    <w:qFormat/>
    <w:uiPriority w:val="0"/>
    <w:pPr>
      <w:tabs>
        <w:tab w:val="left" w:pos="0"/>
      </w:tabs>
      <w:spacing w:line="400" w:lineRule="atLeast"/>
    </w:pPr>
    <w:rPr>
      <w:rFonts w:ascii="Arial" w:hAnsi="Arial"/>
    </w:rPr>
  </w:style>
  <w:style w:type="paragraph" w:styleId="15">
    <w:name w:val="Normal (Web)"/>
    <w:basedOn w:val="1"/>
    <w:qFormat/>
    <w:uiPriority w:val="99"/>
    <w:pPr>
      <w:widowControl/>
    </w:pPr>
    <w:rPr>
      <w:rFonts w:ascii="宋体" w:hAnsi="宋体" w:eastAsia="宋体" w:cs="宋体"/>
    </w:rPr>
  </w:style>
  <w:style w:type="paragraph" w:styleId="16">
    <w:name w:val="Body Text First Indent"/>
    <w:basedOn w:val="7"/>
    <w:next w:val="1"/>
    <w:unhideWhenUsed/>
    <w:qFormat/>
    <w:uiPriority w:val="99"/>
    <w:pPr>
      <w:tabs>
        <w:tab w:val="left" w:pos="567"/>
      </w:tabs>
      <w:ind w:firstLine="420" w:firstLineChars="100"/>
    </w:p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qFormat/>
    <w:uiPriority w:val="0"/>
    <w:rPr>
      <w:b/>
    </w:rPr>
  </w:style>
  <w:style w:type="character" w:styleId="21">
    <w:name w:val="footnote reference"/>
    <w:basedOn w:val="19"/>
    <w:unhideWhenUsed/>
    <w:qFormat/>
    <w:uiPriority w:val="99"/>
    <w:rPr>
      <w:vertAlign w:val="superscript"/>
    </w:rPr>
  </w:style>
  <w:style w:type="character" w:styleId="22">
    <w:name w:val="HTML Sample"/>
    <w:basedOn w:val="19"/>
    <w:qFormat/>
    <w:uiPriority w:val="0"/>
    <w:rPr>
      <w:rFonts w:ascii="Courier New" w:hAnsi="Courier New"/>
    </w:rPr>
  </w:style>
  <w:style w:type="paragraph" w:customStyle="1" w:styleId="23">
    <w:name w:val="_Style 2"/>
    <w:basedOn w:val="3"/>
    <w:next w:val="1"/>
    <w:qFormat/>
    <w:uiPriority w:val="39"/>
    <w:pPr>
      <w:widowControl/>
      <w:tabs>
        <w:tab w:val="left" w:pos="715"/>
      </w:tabs>
      <w:spacing w:before="480" w:line="276" w:lineRule="auto"/>
      <w:jc w:val="left"/>
      <w:outlineLvl w:val="9"/>
    </w:pPr>
    <w:rPr>
      <w:rFonts w:ascii="Cambria" w:hAnsi="Cambria" w:eastAsia="宋体"/>
      <w:color w:val="365F91"/>
      <w:kern w:val="0"/>
      <w:sz w:val="28"/>
      <w:szCs w:val="28"/>
    </w:rPr>
  </w:style>
  <w:style w:type="paragraph" w:customStyle="1" w:styleId="24">
    <w:name w:val="正文格式"/>
    <w:basedOn w:val="1"/>
    <w:qFormat/>
    <w:uiPriority w:val="99"/>
    <w:pPr>
      <w:widowControl/>
      <w:adjustRightInd w:val="0"/>
      <w:snapToGrid w:val="0"/>
      <w:spacing w:line="400" w:lineRule="atLeast"/>
      <w:ind w:firstLine="482"/>
      <w:textAlignment w:val="baseline"/>
    </w:p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Heading #2|1"/>
    <w:basedOn w:val="1"/>
    <w:qFormat/>
    <w:uiPriority w:val="0"/>
    <w:pPr>
      <w:spacing w:before="60" w:after="270"/>
      <w:jc w:val="center"/>
      <w:outlineLvl w:val="1"/>
    </w:pPr>
    <w:rPr>
      <w:rFonts w:ascii="宋体" w:hAnsi="宋体" w:eastAsia="宋体" w:cs="宋体"/>
      <w:sz w:val="36"/>
      <w:szCs w:val="36"/>
      <w:lang w:val="zh-TW" w:eastAsia="zh-TW" w:bidi="zh-TW"/>
    </w:rPr>
  </w:style>
  <w:style w:type="paragraph" w:customStyle="1" w:styleId="27">
    <w:name w:val="Body text|2"/>
    <w:basedOn w:val="1"/>
    <w:qFormat/>
    <w:uiPriority w:val="0"/>
    <w:pPr>
      <w:spacing w:after="260"/>
      <w:ind w:firstLine="140"/>
    </w:pPr>
    <w:rPr>
      <w:rFonts w:ascii="宋体" w:hAnsi="宋体" w:eastAsia="宋体" w:cs="宋体"/>
      <w:sz w:val="30"/>
      <w:szCs w:val="30"/>
      <w:lang w:val="zh-TW" w:eastAsia="zh-TW" w:bidi="zh-TW"/>
    </w:rPr>
  </w:style>
  <w:style w:type="paragraph" w:customStyle="1" w:styleId="28">
    <w:name w:val="Body text|1"/>
    <w:basedOn w:val="1"/>
    <w:qFormat/>
    <w:uiPriority w:val="0"/>
    <w:pPr>
      <w:spacing w:line="454" w:lineRule="auto"/>
      <w:ind w:firstLine="140"/>
    </w:pPr>
    <w:rPr>
      <w:rFonts w:ascii="宋体" w:hAnsi="宋体" w:eastAsia="宋体" w:cs="宋体"/>
      <w:sz w:val="22"/>
      <w:szCs w:val="22"/>
      <w:lang w:val="zh-TW" w:eastAsia="zh-TW" w:bidi="zh-TW"/>
    </w:rPr>
  </w:style>
  <w:style w:type="paragraph" w:customStyle="1" w:styleId="29">
    <w:name w:val="Other|1"/>
    <w:basedOn w:val="1"/>
    <w:qFormat/>
    <w:uiPriority w:val="0"/>
    <w:pPr>
      <w:spacing w:line="454" w:lineRule="auto"/>
      <w:ind w:firstLine="140"/>
    </w:pPr>
    <w:rPr>
      <w:rFonts w:ascii="宋体" w:hAnsi="宋体" w:eastAsia="宋体" w:cs="宋体"/>
      <w:sz w:val="22"/>
      <w:szCs w:val="22"/>
      <w:lang w:val="zh-TW" w:eastAsia="zh-TW" w:bidi="zh-TW"/>
    </w:rPr>
  </w:style>
  <w:style w:type="paragraph" w:customStyle="1" w:styleId="30">
    <w:name w:val="Table caption|1"/>
    <w:basedOn w:val="1"/>
    <w:qFormat/>
    <w:uiPriority w:val="0"/>
    <w:rPr>
      <w:rFonts w:ascii="宋体" w:hAnsi="宋体" w:eastAsia="宋体" w:cs="宋体"/>
      <w:sz w:val="22"/>
      <w:szCs w:val="22"/>
      <w:lang w:val="zh-TW" w:eastAsia="zh-TW" w:bidi="zh-TW"/>
    </w:rPr>
  </w:style>
  <w:style w:type="paragraph" w:customStyle="1" w:styleId="31">
    <w:name w:val="Table Paragraph"/>
    <w:basedOn w:val="1"/>
    <w:qFormat/>
    <w:uiPriority w:val="1"/>
    <w:pPr>
      <w:autoSpaceDE w:val="0"/>
      <w:autoSpaceDN w:val="0"/>
      <w:adjustRightInd w:val="0"/>
    </w:pPr>
    <w:rPr>
      <w:rFonts w:eastAsia="宋体"/>
    </w:rPr>
  </w:style>
  <w:style w:type="paragraph" w:customStyle="1" w:styleId="32">
    <w:name w:val="BodyText"/>
    <w:basedOn w:val="1"/>
    <w:next w:val="1"/>
    <w:qFormat/>
    <w:uiPriority w:val="0"/>
    <w:pPr>
      <w:tabs>
        <w:tab w:val="left" w:pos="780"/>
      </w:tabs>
    </w:pPr>
    <w:rPr>
      <w:rFonts w:ascii="黑体" w:eastAsia="黑体"/>
      <w:sz w:val="22"/>
    </w:rPr>
  </w:style>
  <w:style w:type="character" w:customStyle="1" w:styleId="33">
    <w:name w:val="font01"/>
    <w:basedOn w:val="19"/>
    <w:qFormat/>
    <w:uiPriority w:val="0"/>
    <w:rPr>
      <w:rFonts w:hint="eastAsia" w:ascii="宋体" w:hAnsi="宋体" w:eastAsia="宋体" w:cs="宋体"/>
      <w:color w:val="000000"/>
      <w:sz w:val="22"/>
      <w:szCs w:val="22"/>
      <w:u w:val="none"/>
    </w:rPr>
  </w:style>
  <w:style w:type="character" w:customStyle="1" w:styleId="34">
    <w:name w:val="font11"/>
    <w:basedOn w:val="19"/>
    <w:qFormat/>
    <w:uiPriority w:val="0"/>
    <w:rPr>
      <w:rFonts w:ascii="Arial" w:hAnsi="Arial" w:cs="Arial"/>
      <w:color w:val="000000"/>
      <w:sz w:val="22"/>
      <w:szCs w:val="22"/>
      <w:u w:val="none"/>
    </w:rPr>
  </w:style>
  <w:style w:type="character" w:customStyle="1" w:styleId="35">
    <w:name w:val="font31"/>
    <w:basedOn w:val="19"/>
    <w:qFormat/>
    <w:uiPriority w:val="0"/>
    <w:rPr>
      <w:rFonts w:hint="eastAsia" w:ascii="宋体" w:hAnsi="宋体" w:eastAsia="宋体" w:cs="宋体"/>
      <w:color w:val="000000"/>
      <w:sz w:val="22"/>
      <w:szCs w:val="22"/>
      <w:u w:val="none"/>
    </w:rPr>
  </w:style>
  <w:style w:type="character" w:customStyle="1" w:styleId="36">
    <w:name w:val="font61"/>
    <w:basedOn w:val="19"/>
    <w:qFormat/>
    <w:uiPriority w:val="0"/>
    <w:rPr>
      <w:rFonts w:ascii="宋体" w:hAnsi="宋体" w:eastAsia="宋体" w:cs="宋体"/>
      <w:color w:val="000000"/>
      <w:sz w:val="22"/>
      <w:szCs w:val="22"/>
      <w:u w:val="none"/>
    </w:rPr>
  </w:style>
  <w:style w:type="character" w:customStyle="1" w:styleId="37">
    <w:name w:val="font51"/>
    <w:basedOn w:val="19"/>
    <w:qFormat/>
    <w:uiPriority w:val="0"/>
    <w:rPr>
      <w:rFonts w:hint="eastAsia" w:ascii="宋体" w:hAnsi="宋体" w:eastAsia="宋体" w:cs="宋体"/>
      <w:color w:val="000000"/>
      <w:sz w:val="22"/>
      <w:szCs w:val="22"/>
      <w:u w:val="none"/>
    </w:rPr>
  </w:style>
  <w:style w:type="character" w:customStyle="1" w:styleId="38">
    <w:name w:val="font121"/>
    <w:basedOn w:val="19"/>
    <w:qFormat/>
    <w:uiPriority w:val="0"/>
    <w:rPr>
      <w:rFonts w:hint="eastAsia" w:ascii="宋体" w:hAnsi="宋体" w:eastAsia="宋体" w:cs="宋体"/>
      <w:color w:val="000000"/>
      <w:sz w:val="22"/>
      <w:szCs w:val="22"/>
      <w:u w:val="none"/>
      <w:vertAlign w:val="superscript"/>
    </w:rPr>
  </w:style>
  <w:style w:type="paragraph" w:customStyle="1" w:styleId="39">
    <w:name w:val="black1"/>
    <w:basedOn w:val="1"/>
    <w:qFormat/>
    <w:uiPriority w:val="0"/>
    <w:pPr>
      <w:widowControl/>
      <w:spacing w:before="100" w:beforeLines="0" w:beforeAutospacing="1" w:after="100" w:afterLines="0" w:afterAutospacing="1" w:line="280" w:lineRule="atLeast"/>
      <w:jc w:val="left"/>
    </w:pPr>
    <w:rPr>
      <w:rFonts w:ascii="_x000B__x000C_" w:hAnsi="_x000B__x000C_"/>
      <w:color w:val="000000"/>
      <w:kern w:val="0"/>
      <w:sz w:val="18"/>
      <w:szCs w:val="18"/>
    </w:rPr>
  </w:style>
  <w:style w:type="character" w:customStyle="1" w:styleId="40">
    <w:name w:val="font71"/>
    <w:basedOn w:val="19"/>
    <w:qFormat/>
    <w:uiPriority w:val="0"/>
    <w:rPr>
      <w:rFonts w:ascii="Symbol" w:hAnsi="Symbol" w:cs="Symbol"/>
      <w:color w:val="FF0000"/>
      <w:sz w:val="22"/>
      <w:szCs w:val="22"/>
      <w:u w:val="none"/>
    </w:rPr>
  </w:style>
  <w:style w:type="character" w:customStyle="1" w:styleId="41">
    <w:name w:val="font21"/>
    <w:basedOn w:val="19"/>
    <w:qFormat/>
    <w:uiPriority w:val="0"/>
    <w:rPr>
      <w:rFonts w:hint="eastAsia" w:ascii="宋体" w:hAnsi="宋体" w:eastAsia="宋体" w:cs="宋体"/>
      <w:color w:val="000000"/>
      <w:sz w:val="22"/>
      <w:szCs w:val="22"/>
      <w:u w:val="none"/>
    </w:rPr>
  </w:style>
  <w:style w:type="table" w:customStyle="1" w:styleId="42">
    <w:name w:val="Table Normal"/>
    <w:unhideWhenUsed/>
    <w:qFormat/>
    <w:uiPriority w:val="0"/>
    <w:tblPr>
      <w:tblCellMar>
        <w:top w:w="0" w:type="dxa"/>
        <w:left w:w="0" w:type="dxa"/>
        <w:bottom w:w="0" w:type="dxa"/>
        <w:right w:w="0" w:type="dxa"/>
      </w:tblCellMar>
    </w:tblPr>
  </w:style>
  <w:style w:type="paragraph" w:customStyle="1" w:styleId="43">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78</Pages>
  <Words>5881</Words>
  <Characters>6677</Characters>
  <Lines>216</Lines>
  <Paragraphs>61</Paragraphs>
  <TotalTime>12</TotalTime>
  <ScaleCrop>false</ScaleCrop>
  <LinksUpToDate>false</LinksUpToDate>
  <CharactersWithSpaces>6812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2021-12-16T05:31:00Z</dcterms:created>
  <dc:creator>梦花雨   甘安莉</dc:creator>
  <cp:lastModifiedBy>随心</cp:lastModifiedBy>
  <cp:lastPrinted>2024-04-02T09:57:00Z</cp:lastPrinted>
  <dcterms:modified xsi:type="dcterms:W3CDTF">2025-04-29T02:55:47Z</dcterms:modified>
  <dc:title>克州职工基本医疗保险基金转为定期存款项目</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B7A1A52A97974EA1AD4E0BAE7EAD2C50_13</vt:lpwstr>
  </property>
  <property fmtid="{D5CDD505-2E9C-101B-9397-08002B2CF9AE}" pid="4" name="KSOTemplateDocerSaveRecord">
    <vt:lpwstr>eyJoZGlkIjoiZmRhZDU5MTdjMzBhZWI2MWQ5YTZlMDI4MWUwMGQ2OTEiLCJ1c2VySWQiOiIxOTQxMjY2MjgifQ==</vt:lpwstr>
  </property>
</Properties>
</file>